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B944" w14:textId="5311FBC5" w:rsidR="00E30581" w:rsidRPr="008B2413" w:rsidRDefault="00E30581" w:rsidP="00E30581">
      <w:pPr>
        <w:pStyle w:val="Header"/>
        <w:spacing w:before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139A38F5" wp14:editId="47E4AB05">
            <wp:simplePos x="0" y="0"/>
            <wp:positionH relativeFrom="column">
              <wp:posOffset>4084955</wp:posOffset>
            </wp:positionH>
            <wp:positionV relativeFrom="page">
              <wp:posOffset>584200</wp:posOffset>
            </wp:positionV>
            <wp:extent cx="2490770" cy="873210"/>
            <wp:effectExtent l="0" t="0" r="5080" b="317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70823_ODE_Logo_2016-FINAL-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0770" cy="87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FBB94" wp14:editId="059339A8">
                <wp:simplePos x="0" y="0"/>
                <wp:positionH relativeFrom="column">
                  <wp:posOffset>553720</wp:posOffset>
                </wp:positionH>
                <wp:positionV relativeFrom="paragraph">
                  <wp:posOffset>-189865</wp:posOffset>
                </wp:positionV>
                <wp:extent cx="137160" cy="18288"/>
                <wp:effectExtent l="0" t="0" r="0" b="12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82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2E4C2" id="Rectangle 5" o:spid="_x0000_s1026" style="position:absolute;margin-left:43.6pt;margin-top:-14.95pt;width:10.8pt;height: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" fillcolor="black [3213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C3A8C4" wp14:editId="6A1CBEEA">
                <wp:simplePos x="0" y="0"/>
                <wp:positionH relativeFrom="column">
                  <wp:posOffset>988695</wp:posOffset>
                </wp:positionH>
                <wp:positionV relativeFrom="paragraph">
                  <wp:posOffset>-168910</wp:posOffset>
                </wp:positionV>
                <wp:extent cx="5524983" cy="18288"/>
                <wp:effectExtent l="0" t="0" r="0" b="12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983" cy="18288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3F072" id="Rectangle 6" o:spid="_x0000_s1026" style="position:absolute;margin-left:77.85pt;margin-top:-13.3pt;width:435.05pt;height:1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" fillcolor="black [3213]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1" layoutInCell="1" allowOverlap="1" wp14:anchorId="34CAE027" wp14:editId="66060B43">
            <wp:simplePos x="0" y="0"/>
            <wp:positionH relativeFrom="page">
              <wp:posOffset>463550</wp:posOffset>
            </wp:positionH>
            <wp:positionV relativeFrom="page">
              <wp:posOffset>307340</wp:posOffset>
            </wp:positionV>
            <wp:extent cx="2524760" cy="796925"/>
            <wp:effectExtent l="0" t="0" r="889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76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       </w:t>
      </w:r>
    </w:p>
    <w:p w14:paraId="70B51475" w14:textId="77777777" w:rsidR="00E30581" w:rsidRDefault="00E30581" w:rsidP="00E30581">
      <w:pPr>
        <w:rPr>
          <w:b/>
        </w:rPr>
      </w:pPr>
    </w:p>
    <w:p w14:paraId="6DDEB387" w14:textId="77777777" w:rsidR="00E30581" w:rsidRDefault="00E30581" w:rsidP="00E30581">
      <w:pPr>
        <w:rPr>
          <w:b/>
        </w:rPr>
      </w:pPr>
    </w:p>
    <w:p w14:paraId="5FA07972" w14:textId="41B82D29" w:rsidR="00CC7AA5" w:rsidRDefault="00CC7AA5" w:rsidP="00CC7AA5"/>
    <w:p w14:paraId="51A94DFE" w14:textId="6721E9C7" w:rsidR="00E30581" w:rsidRDefault="00E30581" w:rsidP="00CC7AA5"/>
    <w:p w14:paraId="0A905F30" w14:textId="77777777" w:rsidR="00CC7AA5" w:rsidRPr="00E30581" w:rsidRDefault="00CC7AA5" w:rsidP="00CC7AA5">
      <w:pPr>
        <w:rPr>
          <w:b/>
          <w:sz w:val="32"/>
          <w:szCs w:val="32"/>
        </w:rPr>
      </w:pPr>
      <w:r w:rsidRPr="00E30581">
        <w:rPr>
          <w:b/>
          <w:sz w:val="32"/>
          <w:szCs w:val="32"/>
        </w:rPr>
        <w:t>Rules regarding visitors:</w:t>
      </w:r>
    </w:p>
    <w:p w14:paraId="0A89009E" w14:textId="77777777" w:rsidR="00E30581" w:rsidRDefault="00E30581" w:rsidP="002A5C38">
      <w:pPr>
        <w:ind w:left="810" w:hanging="540"/>
      </w:pPr>
    </w:p>
    <w:p w14:paraId="4A451D27" w14:textId="73F49F1D" w:rsidR="00BB0C3F" w:rsidRPr="00E30581" w:rsidRDefault="00662388" w:rsidP="00E30581">
      <w:pPr>
        <w:pStyle w:val="ListParagraph"/>
        <w:numPr>
          <w:ilvl w:val="0"/>
          <w:numId w:val="2"/>
        </w:numPr>
        <w:rPr>
          <w:b/>
        </w:rPr>
      </w:pPr>
      <w:r>
        <w:t>Any visitor to the home</w:t>
      </w:r>
      <w:r w:rsidR="005F3C76">
        <w:t xml:space="preserve"> or other adult who is not enrolled in the CBR </w:t>
      </w:r>
      <w:r>
        <w:t>shall</w:t>
      </w:r>
      <w:r w:rsidR="005F3C76">
        <w:t xml:space="preserve"> not have unsupervised access to child care children</w:t>
      </w:r>
      <w:r w:rsidR="0040648B">
        <w:t>.</w:t>
      </w:r>
    </w:p>
    <w:p w14:paraId="587C2CFF" w14:textId="77777777" w:rsidR="000131E5" w:rsidRDefault="000131E5" w:rsidP="00E30581">
      <w:pPr>
        <w:rPr>
          <w:b/>
        </w:rPr>
      </w:pPr>
    </w:p>
    <w:p w14:paraId="2ED70595" w14:textId="68E96B24" w:rsidR="000131E5" w:rsidRPr="00E30581" w:rsidRDefault="00662388" w:rsidP="00E30581">
      <w:pPr>
        <w:pStyle w:val="ListParagraph"/>
        <w:numPr>
          <w:ilvl w:val="0"/>
          <w:numId w:val="2"/>
        </w:numPr>
        <w:rPr>
          <w:b/>
        </w:rPr>
      </w:pPr>
      <w:r>
        <w:t>The provider</w:t>
      </w:r>
      <w:r w:rsidR="000131E5">
        <w:t xml:space="preserve"> shall have a written plan to ensure that individuals who are not enrolled or conditionally enrolled in the CBR and are on the child care premises shall not have unsupervised access to children.</w:t>
      </w:r>
    </w:p>
    <w:p w14:paraId="09FE01E5" w14:textId="77777777" w:rsidR="000131E5" w:rsidRDefault="000131E5" w:rsidP="00E30581">
      <w:pPr>
        <w:rPr>
          <w:b/>
        </w:rPr>
      </w:pPr>
    </w:p>
    <w:p w14:paraId="709B5CB8" w14:textId="5DC02A94" w:rsidR="0009606B" w:rsidRPr="00E30581" w:rsidRDefault="000131E5" w:rsidP="00E30581">
      <w:pPr>
        <w:pStyle w:val="ListParagraph"/>
        <w:numPr>
          <w:ilvl w:val="0"/>
          <w:numId w:val="2"/>
        </w:numPr>
        <w:rPr>
          <w:b/>
        </w:rPr>
      </w:pPr>
      <w:r>
        <w:t xml:space="preserve">The </w:t>
      </w:r>
      <w:r w:rsidR="00662388">
        <w:t>provider</w:t>
      </w:r>
      <w:r>
        <w:t xml:space="preserve"> shall maintain a log of arrival and departure times of all individuals 18 and older who are not enrolled or conditionally enrolled in the CBR and enter the child care </w:t>
      </w:r>
      <w:r w:rsidR="00E14E36">
        <w:t>home</w:t>
      </w:r>
      <w:r>
        <w:t xml:space="preserve"> while child care children are present, excluding parents who are dropping off or picking up their children.</w:t>
      </w:r>
    </w:p>
    <w:p w14:paraId="1340F755" w14:textId="77777777" w:rsidR="0009606B" w:rsidRPr="0009606B" w:rsidRDefault="0009606B" w:rsidP="00BB0C3F">
      <w:pPr>
        <w:rPr>
          <w:b/>
        </w:rPr>
      </w:pPr>
    </w:p>
    <w:p w14:paraId="3E5D2E5A" w14:textId="0691C058" w:rsidR="0009606B" w:rsidRDefault="00BB0C3F" w:rsidP="0009606B">
      <w:r w:rsidRPr="000131E5">
        <w:t>Importance</w:t>
      </w:r>
      <w:r w:rsidR="00D26797" w:rsidRPr="000131E5">
        <w:t xml:space="preserve"> </w:t>
      </w:r>
      <w:r w:rsidR="0009606B" w:rsidRPr="000131E5">
        <w:t xml:space="preserve">to </w:t>
      </w:r>
      <w:r w:rsidR="002A5C38">
        <w:t>children, families and programs</w:t>
      </w:r>
      <w:r w:rsidR="00CC7AA5">
        <w:t>:</w:t>
      </w:r>
    </w:p>
    <w:p w14:paraId="380BCD4A" w14:textId="77777777" w:rsidR="00CC7AA5" w:rsidRDefault="00CC7AA5" w:rsidP="00CC7AA5">
      <w:pPr>
        <w:rPr>
          <w:b/>
          <w:color w:val="auto"/>
          <w:spacing w:val="0"/>
        </w:rPr>
      </w:pPr>
      <w:r w:rsidRPr="000131E5">
        <w:rPr>
          <w:color w:val="auto"/>
          <w:spacing w:val="0"/>
        </w:rPr>
        <w:t xml:space="preserve">It is critical to children’s basic health and safety to </w:t>
      </w:r>
      <w:r>
        <w:rPr>
          <w:color w:val="auto"/>
          <w:spacing w:val="0"/>
        </w:rPr>
        <w:t>restrict unsupervised access by individuals who are not enrolled in the Central Background Registry (CBR). Clear guidelines for all caregivers to follow as well as a log documenting individuals who are on-site, assists in maintaining a secure environment for children and staff. Recording individuals who are on-site will demonstrate your diligence in assuring that children are only cared for by individuals who are enrolled in the CBR.</w:t>
      </w:r>
    </w:p>
    <w:p w14:paraId="1FF2AB59" w14:textId="77777777" w:rsidR="008320FC" w:rsidRPr="000131E5" w:rsidRDefault="008320FC" w:rsidP="0009606B">
      <w:pPr>
        <w:rPr>
          <w:b/>
          <w:color w:val="auto"/>
          <w:spacing w:val="0"/>
        </w:rPr>
      </w:pPr>
    </w:p>
    <w:p w14:paraId="30D7F7C0" w14:textId="208C9A61" w:rsidR="0009606B" w:rsidRDefault="0009606B" w:rsidP="0009606B">
      <w:pPr>
        <w:rPr>
          <w:color w:val="auto"/>
          <w:spacing w:val="0"/>
        </w:rPr>
      </w:pPr>
      <w:r w:rsidRPr="000131E5">
        <w:rPr>
          <w:color w:val="auto"/>
          <w:spacing w:val="0"/>
        </w:rPr>
        <w:t>Description of how it’s different from previous rules</w:t>
      </w:r>
      <w:r w:rsidR="002A5C38">
        <w:rPr>
          <w:color w:val="auto"/>
          <w:spacing w:val="0"/>
        </w:rPr>
        <w:t>:</w:t>
      </w:r>
    </w:p>
    <w:p w14:paraId="282EA41F" w14:textId="710FC141" w:rsidR="00CC7AA5" w:rsidRDefault="00CF6ECB" w:rsidP="00CC7AA5">
      <w:pPr>
        <w:rPr>
          <w:b/>
          <w:color w:val="auto"/>
          <w:spacing w:val="0"/>
        </w:rPr>
      </w:pPr>
      <w:r>
        <w:rPr>
          <w:color w:val="auto"/>
          <w:spacing w:val="0"/>
        </w:rPr>
        <w:t>Rules written prior to September 30, 2018</w:t>
      </w:r>
      <w:r w:rsidR="00CF1F6E">
        <w:rPr>
          <w:color w:val="auto"/>
          <w:spacing w:val="0"/>
        </w:rPr>
        <w:t xml:space="preserve"> do not allow individuals not enrolled in the CBR unsupervised access to children. The new rules expand safeguards by requiring a written plan addressing “no unsupervised access” by individuals not enrolled in the CBR.</w:t>
      </w:r>
      <w:r w:rsidR="000A617E">
        <w:rPr>
          <w:color w:val="auto"/>
          <w:spacing w:val="0"/>
        </w:rPr>
        <w:t xml:space="preserve"> The rule also requires a written log for visitors.</w:t>
      </w:r>
      <w:r>
        <w:rPr>
          <w:color w:val="auto"/>
          <w:spacing w:val="0"/>
        </w:rPr>
        <w:t xml:space="preserve"> </w:t>
      </w:r>
    </w:p>
    <w:p w14:paraId="295EB892" w14:textId="77777777" w:rsidR="0009606B" w:rsidRPr="0009606B" w:rsidRDefault="0009606B" w:rsidP="0009606B">
      <w:pPr>
        <w:rPr>
          <w:b/>
          <w:color w:val="auto"/>
          <w:spacing w:val="0"/>
        </w:rPr>
      </w:pPr>
    </w:p>
    <w:p w14:paraId="31DB7B21" w14:textId="77777777" w:rsidR="0009606B" w:rsidRPr="00970815" w:rsidRDefault="0009606B" w:rsidP="0009606B">
      <w:pPr>
        <w:rPr>
          <w:color w:val="auto"/>
          <w:spacing w:val="0"/>
        </w:rPr>
      </w:pPr>
      <w:r w:rsidRPr="00970815">
        <w:rPr>
          <w:color w:val="auto"/>
          <w:spacing w:val="0"/>
        </w:rPr>
        <w:t xml:space="preserve">Examples of how this might look: </w:t>
      </w:r>
    </w:p>
    <w:p w14:paraId="2416B2E1" w14:textId="2691B594" w:rsidR="00CC7AA5" w:rsidRDefault="00CC7AA5" w:rsidP="00CC7AA5">
      <w:pPr>
        <w:rPr>
          <w:b/>
          <w:color w:val="auto"/>
          <w:spacing w:val="0"/>
        </w:rPr>
      </w:pPr>
      <w:r>
        <w:rPr>
          <w:color w:val="auto"/>
          <w:spacing w:val="0"/>
        </w:rPr>
        <w:t>A standard sign in/sign out system to track individuals not enrolled in the CBR who enter</w:t>
      </w:r>
      <w:r w:rsidR="000A617E">
        <w:rPr>
          <w:color w:val="auto"/>
          <w:spacing w:val="0"/>
        </w:rPr>
        <w:t xml:space="preserve"> and exit </w:t>
      </w:r>
      <w:r>
        <w:rPr>
          <w:color w:val="auto"/>
          <w:spacing w:val="0"/>
        </w:rPr>
        <w:t xml:space="preserve">the facility should include, at a minimum, name, relationship to the facility (e.g. volunteer, vendor, guest) and a recorded time in and out. </w:t>
      </w:r>
    </w:p>
    <w:p w14:paraId="15D92733" w14:textId="77777777" w:rsidR="00CC7AA5" w:rsidRDefault="00CC7AA5" w:rsidP="00CC7AA5">
      <w:pPr>
        <w:rPr>
          <w:b/>
          <w:color w:val="auto"/>
          <w:spacing w:val="0"/>
        </w:rPr>
      </w:pPr>
    </w:p>
    <w:p w14:paraId="5C250F6B" w14:textId="77777777" w:rsidR="00970815" w:rsidRDefault="00970815" w:rsidP="0009606B">
      <w:pPr>
        <w:rPr>
          <w:b/>
          <w:color w:val="auto"/>
          <w:spacing w:val="0"/>
        </w:rPr>
      </w:pPr>
      <w:r>
        <w:rPr>
          <w:color w:val="auto"/>
          <w:spacing w:val="0"/>
        </w:rPr>
        <w:t xml:space="preserve">A written plan should consist of </w:t>
      </w:r>
      <w:r w:rsidR="007414FB">
        <w:rPr>
          <w:color w:val="auto"/>
          <w:spacing w:val="0"/>
        </w:rPr>
        <w:t>standards regarding:</w:t>
      </w:r>
    </w:p>
    <w:p w14:paraId="14CD51F7" w14:textId="77777777" w:rsidR="007414FB" w:rsidRDefault="007414FB" w:rsidP="007414FB">
      <w:pPr>
        <w:pStyle w:val="ListParagraph"/>
        <w:numPr>
          <w:ilvl w:val="0"/>
          <w:numId w:val="1"/>
        </w:numPr>
        <w:rPr>
          <w:b/>
          <w:color w:val="auto"/>
          <w:spacing w:val="0"/>
        </w:rPr>
      </w:pPr>
      <w:r>
        <w:rPr>
          <w:color w:val="auto"/>
          <w:spacing w:val="0"/>
        </w:rPr>
        <w:t>No unsupervised access to children</w:t>
      </w:r>
    </w:p>
    <w:p w14:paraId="23CE3F42" w14:textId="77777777" w:rsidR="007414FB" w:rsidRDefault="007414FB" w:rsidP="007414FB">
      <w:pPr>
        <w:pStyle w:val="ListParagraph"/>
        <w:numPr>
          <w:ilvl w:val="0"/>
          <w:numId w:val="1"/>
        </w:numPr>
        <w:rPr>
          <w:b/>
          <w:color w:val="auto"/>
          <w:spacing w:val="0"/>
        </w:rPr>
      </w:pPr>
      <w:r>
        <w:rPr>
          <w:color w:val="auto"/>
          <w:spacing w:val="0"/>
        </w:rPr>
        <w:t>Sign in and out procedures</w:t>
      </w:r>
    </w:p>
    <w:p w14:paraId="3A5D883D" w14:textId="77777777" w:rsidR="007414FB" w:rsidRDefault="007414FB" w:rsidP="007414FB">
      <w:pPr>
        <w:pStyle w:val="ListParagraph"/>
        <w:numPr>
          <w:ilvl w:val="0"/>
          <w:numId w:val="1"/>
        </w:numPr>
        <w:rPr>
          <w:b/>
          <w:color w:val="auto"/>
          <w:spacing w:val="0"/>
        </w:rPr>
      </w:pPr>
      <w:r>
        <w:rPr>
          <w:color w:val="auto"/>
          <w:spacing w:val="0"/>
        </w:rPr>
        <w:t>Someone assigned to stay with the individual at all times</w:t>
      </w:r>
    </w:p>
    <w:p w14:paraId="31406E05" w14:textId="77777777" w:rsidR="007414FB" w:rsidRPr="007414FB" w:rsidRDefault="007414FB" w:rsidP="007414FB">
      <w:pPr>
        <w:pStyle w:val="ListParagraph"/>
        <w:numPr>
          <w:ilvl w:val="0"/>
          <w:numId w:val="1"/>
        </w:numPr>
        <w:rPr>
          <w:b/>
          <w:color w:val="auto"/>
          <w:spacing w:val="0"/>
        </w:rPr>
      </w:pPr>
      <w:r>
        <w:rPr>
          <w:color w:val="auto"/>
          <w:spacing w:val="0"/>
        </w:rPr>
        <w:t>P</w:t>
      </w:r>
      <w:r w:rsidR="000F3C80">
        <w:rPr>
          <w:color w:val="auto"/>
          <w:spacing w:val="0"/>
        </w:rPr>
        <w:t>rocedures if the event of an emergency that would ensure no unsupervised access</w:t>
      </w:r>
    </w:p>
    <w:p w14:paraId="0FC971D6" w14:textId="77777777" w:rsidR="0009606B" w:rsidRPr="0009606B" w:rsidRDefault="0009606B" w:rsidP="0009606B">
      <w:pPr>
        <w:rPr>
          <w:b/>
          <w:color w:val="auto"/>
          <w:spacing w:val="0"/>
        </w:rPr>
      </w:pPr>
    </w:p>
    <w:p w14:paraId="5C32C27E" w14:textId="77777777" w:rsidR="00645A96" w:rsidRDefault="00645A96" w:rsidP="00645A96">
      <w:pPr>
        <w:rPr>
          <w:color w:val="auto"/>
          <w:spacing w:val="0"/>
        </w:rPr>
      </w:pPr>
      <w:r>
        <w:rPr>
          <w:color w:val="auto"/>
          <w:spacing w:val="0"/>
        </w:rPr>
        <w:t>Additional information:</w:t>
      </w:r>
    </w:p>
    <w:p w14:paraId="442B992E" w14:textId="778E089B" w:rsidR="00026252" w:rsidRPr="00026252" w:rsidRDefault="00026252" w:rsidP="0009606B">
      <w:pPr>
        <w:rPr>
          <w:b/>
          <w:color w:val="auto"/>
          <w:spacing w:val="0"/>
        </w:rPr>
      </w:pPr>
      <w:r w:rsidRPr="00026252">
        <w:rPr>
          <w:color w:val="auto"/>
          <w:spacing w:val="0"/>
        </w:rPr>
        <w:t>At your first renewal visit, or monitoring visit after September 30, 2018 your licensing specialist will ask to see your sign in/out log</w:t>
      </w:r>
      <w:r w:rsidR="00612FDB">
        <w:rPr>
          <w:color w:val="auto"/>
          <w:spacing w:val="0"/>
        </w:rPr>
        <w:t>.</w:t>
      </w:r>
      <w:r w:rsidRPr="00026252">
        <w:rPr>
          <w:color w:val="auto"/>
          <w:spacing w:val="0"/>
        </w:rPr>
        <w:t xml:space="preserve"> They will ask to see your written plan and can help talk you through any additions that may be needed.</w:t>
      </w:r>
      <w:r w:rsidR="00612FDB">
        <w:rPr>
          <w:color w:val="auto"/>
          <w:spacing w:val="0"/>
        </w:rPr>
        <w:t xml:space="preserve"> USDA food program representatives and CCR&amp;R representatives are not required to be signed in.</w:t>
      </w:r>
    </w:p>
    <w:p w14:paraId="6D117F3E" w14:textId="77777777" w:rsidR="003E65D3" w:rsidRDefault="003E65D3" w:rsidP="003E65D3">
      <w:pPr>
        <w:rPr>
          <w:b/>
          <w:i/>
          <w:color w:val="2E74B5" w:themeColor="accent1" w:themeShade="BF"/>
          <w:spacing w:val="0"/>
        </w:rPr>
      </w:pPr>
    </w:p>
    <w:p w14:paraId="57A059FE" w14:textId="0E0B3DC6" w:rsidR="000F3C80" w:rsidRPr="003E65D3" w:rsidRDefault="003E65D3" w:rsidP="0009606B">
      <w:pPr>
        <w:rPr>
          <w:b/>
          <w:color w:val="auto"/>
        </w:rPr>
      </w:pPr>
      <w:r>
        <w:rPr>
          <w:i/>
          <w:color w:val="2E74B5" w:themeColor="accent1" w:themeShade="BF"/>
          <w:spacing w:val="0"/>
        </w:rPr>
        <w:t>This document is designed to assist programs in understanding some of the revised regulations. Please refer to the revised rule book for a complete set of regulations and specific rule language.</w:t>
      </w:r>
    </w:p>
    <w:sectPr w:rsidR="000F3C80" w:rsidRPr="003E65D3" w:rsidSect="00E305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990" w:bottom="1350" w:left="126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97E8BA" w14:textId="77777777" w:rsidR="009A331B" w:rsidRDefault="009A331B" w:rsidP="00BB0C3F">
      <w:r>
        <w:separator/>
      </w:r>
    </w:p>
  </w:endnote>
  <w:endnote w:type="continuationSeparator" w:id="0">
    <w:p w14:paraId="2E9DD0D7" w14:textId="77777777" w:rsidR="009A331B" w:rsidRDefault="009A331B" w:rsidP="00BB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30119" w14:textId="77777777" w:rsidR="00286F8C" w:rsidRDefault="00286F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95E4CD" w14:textId="77777777" w:rsidR="003E65D3" w:rsidRDefault="003E65D3" w:rsidP="003E65D3">
    <w:pPr>
      <w:pStyle w:val="Footer"/>
    </w:pPr>
  </w:p>
  <w:p w14:paraId="145DC49D" w14:textId="77777777" w:rsidR="003E65D3" w:rsidRDefault="003E65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3F0A" w14:textId="77777777" w:rsidR="00286F8C" w:rsidRDefault="00286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FBE5" w14:textId="77777777" w:rsidR="009A331B" w:rsidRDefault="009A331B" w:rsidP="00BB0C3F">
      <w:r>
        <w:separator/>
      </w:r>
    </w:p>
  </w:footnote>
  <w:footnote w:type="continuationSeparator" w:id="0">
    <w:p w14:paraId="3AB60561" w14:textId="77777777" w:rsidR="009A331B" w:rsidRDefault="009A331B" w:rsidP="00BB0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3176" w14:textId="5E781A48" w:rsidR="00286F8C" w:rsidRDefault="00286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04445" w14:textId="719E8D3E" w:rsidR="00BB0C3F" w:rsidRDefault="00BB0C3F" w:rsidP="003E6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A4B4F" w14:textId="02DC74C3" w:rsidR="00286F8C" w:rsidRDefault="00286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0F93"/>
    <w:multiLevelType w:val="hybridMultilevel"/>
    <w:tmpl w:val="5B928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451F"/>
    <w:multiLevelType w:val="hybridMultilevel"/>
    <w:tmpl w:val="B64E4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3F"/>
    <w:rsid w:val="000131E5"/>
    <w:rsid w:val="00026252"/>
    <w:rsid w:val="00051002"/>
    <w:rsid w:val="0009606B"/>
    <w:rsid w:val="000A617E"/>
    <w:rsid w:val="000C0881"/>
    <w:rsid w:val="000F3C80"/>
    <w:rsid w:val="00175892"/>
    <w:rsid w:val="001A1D0E"/>
    <w:rsid w:val="001D4431"/>
    <w:rsid w:val="00286F8C"/>
    <w:rsid w:val="00294CDB"/>
    <w:rsid w:val="002A5C38"/>
    <w:rsid w:val="00374189"/>
    <w:rsid w:val="003E65D3"/>
    <w:rsid w:val="0040648B"/>
    <w:rsid w:val="00562AE8"/>
    <w:rsid w:val="005F3C76"/>
    <w:rsid w:val="00612FDB"/>
    <w:rsid w:val="00645A96"/>
    <w:rsid w:val="00656C6B"/>
    <w:rsid w:val="00662388"/>
    <w:rsid w:val="007414FB"/>
    <w:rsid w:val="008320FC"/>
    <w:rsid w:val="008D00ED"/>
    <w:rsid w:val="00970815"/>
    <w:rsid w:val="009A331B"/>
    <w:rsid w:val="009D195B"/>
    <w:rsid w:val="00AD562C"/>
    <w:rsid w:val="00B77AA3"/>
    <w:rsid w:val="00B902F7"/>
    <w:rsid w:val="00BB0C3F"/>
    <w:rsid w:val="00BB1149"/>
    <w:rsid w:val="00BF1895"/>
    <w:rsid w:val="00BF404F"/>
    <w:rsid w:val="00C73BB8"/>
    <w:rsid w:val="00CC7AA5"/>
    <w:rsid w:val="00CF1F6E"/>
    <w:rsid w:val="00CF6ECB"/>
    <w:rsid w:val="00D26797"/>
    <w:rsid w:val="00E14E36"/>
    <w:rsid w:val="00E30581"/>
    <w:rsid w:val="00E664F9"/>
    <w:rsid w:val="00FD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E5AA"/>
  <w15:docId w15:val="{D79BF65E-24FB-482F-8C96-74F51E31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31F20"/>
        <w:spacing w:val="4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0C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C3F"/>
  </w:style>
  <w:style w:type="paragraph" w:styleId="Footer">
    <w:name w:val="footer"/>
    <w:basedOn w:val="Normal"/>
    <w:link w:val="FooterChar"/>
    <w:uiPriority w:val="99"/>
    <w:unhideWhenUsed/>
    <w:rsid w:val="00BB0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C3F"/>
  </w:style>
  <w:style w:type="paragraph" w:styleId="BalloonText">
    <w:name w:val="Balloon Text"/>
    <w:basedOn w:val="Normal"/>
    <w:link w:val="BalloonTextChar"/>
    <w:uiPriority w:val="99"/>
    <w:semiHidden/>
    <w:unhideWhenUsed/>
    <w:rsid w:val="00FD3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F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13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1E5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1E5"/>
    <w:rPr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14FB"/>
    <w:pPr>
      <w:ind w:left="720"/>
      <w:contextualSpacing/>
    </w:pPr>
  </w:style>
  <w:style w:type="paragraph" w:styleId="NoSpacing">
    <w:name w:val="No Spacing"/>
    <w:uiPriority w:val="1"/>
    <w:qFormat/>
    <w:rsid w:val="003E65D3"/>
    <w:rPr>
      <w:b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D69971-7B70-4128-8895-EAC1AB684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Visitor PlAn And Visitor Log for Certified Family Child Care Homes</vt:lpstr>
    </vt:vector>
  </TitlesOfParts>
  <Company>Oregon Department of Education</Company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Visitor PlAn And Visitor Log for Certified Family Child Care Homes</dc:title>
  <dc:subject/>
  <dc:creator>PHAM Roni J - ELD</dc:creator>
  <cp:keywords/>
  <dc:description/>
  <cp:lastModifiedBy>Lacey D. Davis</cp:lastModifiedBy>
  <cp:revision>2</cp:revision>
  <dcterms:created xsi:type="dcterms:W3CDTF">2019-01-09T20:22:00Z</dcterms:created>
  <dcterms:modified xsi:type="dcterms:W3CDTF">2019-01-09T20:22:00Z</dcterms:modified>
</cp:coreProperties>
</file>