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6" w:rsidRPr="00D37136" w:rsidRDefault="00D37136" w:rsidP="00D37136">
      <w:pPr>
        <w:spacing w:after="0" w:line="240" w:lineRule="auto"/>
        <w:rPr>
          <w:b/>
        </w:rPr>
      </w:pPr>
      <w:bookmarkStart w:id="0" w:name="_Toc535495242"/>
      <w:bookmarkStart w:id="1" w:name="_GoBack"/>
      <w:bookmarkEnd w:id="1"/>
      <w:r w:rsidRPr="00D37136">
        <w:rPr>
          <w:b/>
        </w:rPr>
        <w:t>414‐205‐0035</w:t>
      </w:r>
    </w:p>
    <w:p w:rsidR="00B00F77" w:rsidRDefault="00D37136" w:rsidP="00D37136">
      <w:pPr>
        <w:spacing w:after="0" w:line="240" w:lineRule="auto"/>
        <w:rPr>
          <w:b/>
        </w:rPr>
      </w:pPr>
      <w:r w:rsidRPr="00D37136">
        <w:rPr>
          <w:b/>
        </w:rPr>
        <w:t>Общие требования</w:t>
      </w:r>
      <w:bookmarkEnd w:id="0"/>
    </w:p>
    <w:p w:rsidR="00D37136" w:rsidRDefault="00D37136" w:rsidP="00D37136">
      <w:pPr>
        <w:spacing w:after="0" w:line="240" w:lineRule="auto"/>
        <w:rPr>
          <w:b/>
        </w:rPr>
      </w:pPr>
    </w:p>
    <w:p w:rsidR="00D37136" w:rsidRDefault="00D37136" w:rsidP="00D37136">
      <w:pPr>
        <w:spacing w:after="0" w:line="240" w:lineRule="auto"/>
        <w:rPr>
          <w:lang w:val="ru-RU"/>
        </w:rPr>
      </w:pPr>
      <w:r>
        <w:t xml:space="preserve">(8) </w:t>
      </w:r>
      <w:r w:rsidRPr="006A087D">
        <w:rPr>
          <w:lang w:val="ru-RU"/>
        </w:rPr>
        <w:t>Учреждение обязано вывесить рядом со входом либо в другой четко видимой для родителей подопечных детей зоне следующую информацию:</w:t>
      </w:r>
    </w:p>
    <w:p w:rsidR="00D37136" w:rsidRDefault="00D37136" w:rsidP="00D37136">
      <w:pPr>
        <w:spacing w:after="0" w:line="240" w:lineRule="auto"/>
      </w:pPr>
      <w:r w:rsidRPr="00D37136">
        <w:t>(a)</w:t>
      </w:r>
      <w:r>
        <w:rPr>
          <w:b/>
        </w:rPr>
        <w:t xml:space="preserve"> </w:t>
      </w:r>
      <w:r w:rsidRPr="003A1601">
        <w:t>Свидетельство о регистрации учреждения; и</w:t>
      </w:r>
    </w:p>
    <w:p w:rsidR="00D37136" w:rsidRPr="00D37136" w:rsidRDefault="00D37136" w:rsidP="00D37136">
      <w:pPr>
        <w:spacing w:after="0" w:line="240" w:lineRule="auto"/>
        <w:rPr>
          <w:b/>
          <w:color w:val="0070C0"/>
        </w:rPr>
      </w:pPr>
      <w:r w:rsidRPr="00D37136">
        <w:rPr>
          <w:color w:val="0070C0"/>
        </w:rPr>
        <w:t xml:space="preserve">(b) </w:t>
      </w:r>
      <w:r w:rsidRPr="00D37136">
        <w:rPr>
          <w:color w:val="0070C0"/>
          <w:lang w:val="ru-RU"/>
        </w:rPr>
        <w:t>Провайдеры обязаны в течение 12 календарных месяцев публиковать все письма уведомляющие учреждение о серьезных нарушениях в результате расследования жалоб и письма о несоответствии нормативно-правовым требованиям из категории «серьёзных нарушений».</w:t>
      </w:r>
    </w:p>
    <w:p w:rsidR="00D37136" w:rsidRDefault="00D37136" w:rsidP="00D37136">
      <w:pPr>
        <w:spacing w:after="0" w:line="240" w:lineRule="auto"/>
        <w:rPr>
          <w:b/>
        </w:rPr>
      </w:pPr>
    </w:p>
    <w:p w:rsidR="00D37136" w:rsidRDefault="00D37136" w:rsidP="00D37136">
      <w:pPr>
        <w:spacing w:after="0" w:line="240" w:lineRule="auto"/>
        <w:rPr>
          <w:strike/>
          <w:color w:val="FF0000"/>
          <w:lang w:val="ru-RU"/>
        </w:rPr>
      </w:pPr>
      <w:r w:rsidRPr="00D37136">
        <w:rPr>
          <w:strike/>
          <w:color w:val="FF0000"/>
        </w:rPr>
        <w:t xml:space="preserve">(21) </w:t>
      </w:r>
      <w:r w:rsidRPr="00D37136">
        <w:rPr>
          <w:strike/>
          <w:color w:val="FF0000"/>
          <w:lang w:val="ru-RU"/>
        </w:rPr>
        <w:t>Провайдеры обязаны в течение 12 календарных месяцев публиковать все письма уведомляющие учреждение о серьезных нарушениях в результате расследования жалоб и письма о несоответствии нормативно-правовым требованиям из категории «серьёзных нарушений».</w:t>
      </w:r>
    </w:p>
    <w:p w:rsidR="00D37136" w:rsidRDefault="00D37136" w:rsidP="00D37136">
      <w:pPr>
        <w:spacing w:after="0" w:line="240" w:lineRule="auto"/>
        <w:rPr>
          <w:strike/>
          <w:color w:val="FF0000"/>
          <w:lang w:val="ru-RU"/>
        </w:rPr>
      </w:pPr>
    </w:p>
    <w:p w:rsidR="00C8575A" w:rsidRPr="00C8575A" w:rsidRDefault="00C8575A" w:rsidP="00D37136">
      <w:pPr>
        <w:spacing w:after="0" w:line="240" w:lineRule="auto"/>
        <w:rPr>
          <w:b/>
          <w:color w:val="0070C0"/>
        </w:rPr>
      </w:pPr>
      <w:bookmarkStart w:id="2" w:name="_Toc535495244"/>
      <w:r w:rsidRPr="00C8575A">
        <w:rPr>
          <w:color w:val="0070C0"/>
          <w:spacing w:val="-1"/>
        </w:rPr>
        <w:t>(26) О</w:t>
      </w:r>
      <w:r w:rsidRPr="00C8575A">
        <w:rPr>
          <w:color w:val="0070C0"/>
        </w:rPr>
        <w:t xml:space="preserve">тдел </w:t>
      </w:r>
      <w:r w:rsidRPr="00C8575A">
        <w:rPr>
          <w:color w:val="0070C0"/>
          <w:spacing w:val="-2"/>
        </w:rPr>
        <w:t>р</w:t>
      </w:r>
      <w:r w:rsidRPr="00C8575A">
        <w:rPr>
          <w:color w:val="0070C0"/>
        </w:rPr>
        <w:t>ег</w:t>
      </w:r>
      <w:r w:rsidRPr="00C8575A">
        <w:rPr>
          <w:color w:val="0070C0"/>
          <w:spacing w:val="-1"/>
        </w:rPr>
        <w:t>у</w:t>
      </w:r>
      <w:r w:rsidRPr="00C8575A">
        <w:rPr>
          <w:color w:val="0070C0"/>
        </w:rPr>
        <w:t>л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о</w:t>
      </w:r>
      <w:r w:rsidRPr="00C8575A">
        <w:rPr>
          <w:color w:val="0070C0"/>
          <w:spacing w:val="-3"/>
        </w:rPr>
        <w:t>в</w:t>
      </w:r>
      <w:r w:rsidRPr="00C8575A">
        <w:rPr>
          <w:color w:val="0070C0"/>
        </w:rPr>
        <w:t>а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я дет</w:t>
      </w:r>
      <w:r w:rsidRPr="00C8575A">
        <w:rPr>
          <w:color w:val="0070C0"/>
          <w:spacing w:val="-1"/>
        </w:rPr>
        <w:t>ски</w:t>
      </w:r>
      <w:r w:rsidRPr="00C8575A">
        <w:rPr>
          <w:color w:val="0070C0"/>
        </w:rPr>
        <w:t xml:space="preserve">х </w:t>
      </w:r>
      <w:r w:rsidRPr="00C8575A">
        <w:rPr>
          <w:color w:val="0070C0"/>
          <w:spacing w:val="-1"/>
        </w:rPr>
        <w:t>у</w:t>
      </w:r>
      <w:r w:rsidRPr="00C8575A">
        <w:rPr>
          <w:color w:val="0070C0"/>
        </w:rPr>
        <w:t>ч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ежде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й м</w:t>
      </w:r>
      <w:r w:rsidRPr="00C8575A">
        <w:rPr>
          <w:color w:val="0070C0"/>
          <w:spacing w:val="-2"/>
        </w:rPr>
        <w:t>о</w:t>
      </w:r>
      <w:r w:rsidRPr="00C8575A">
        <w:rPr>
          <w:color w:val="0070C0"/>
        </w:rPr>
        <w:t>жет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1"/>
        </w:rPr>
        <w:t>у</w:t>
      </w:r>
      <w:r w:rsidRPr="00C8575A">
        <w:rPr>
          <w:color w:val="0070C0"/>
        </w:rPr>
        <w:t>ве</w:t>
      </w:r>
      <w:r w:rsidRPr="00C8575A">
        <w:rPr>
          <w:color w:val="0070C0"/>
          <w:spacing w:val="-2"/>
        </w:rPr>
        <w:t>д</w:t>
      </w:r>
      <w:r w:rsidRPr="00C8575A">
        <w:rPr>
          <w:color w:val="0070C0"/>
        </w:rPr>
        <w:t>ом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ть</w:t>
      </w:r>
      <w:r w:rsidRPr="00C8575A">
        <w:rPr>
          <w:color w:val="0070C0"/>
          <w:spacing w:val="-2"/>
        </w:rPr>
        <w:t xml:space="preserve"> 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од</w:t>
      </w:r>
      <w:r w:rsidRPr="00C8575A">
        <w:rPr>
          <w:color w:val="0070C0"/>
          <w:spacing w:val="-3"/>
        </w:rPr>
        <w:t>и</w:t>
      </w:r>
      <w:r w:rsidRPr="00C8575A">
        <w:rPr>
          <w:color w:val="0070C0"/>
        </w:rPr>
        <w:t>те</w:t>
      </w:r>
      <w:r w:rsidRPr="00C8575A">
        <w:rPr>
          <w:color w:val="0070C0"/>
          <w:spacing w:val="-3"/>
        </w:rPr>
        <w:t>л</w:t>
      </w:r>
      <w:r w:rsidRPr="00C8575A">
        <w:rPr>
          <w:color w:val="0070C0"/>
        </w:rPr>
        <w:t xml:space="preserve">ей 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е</w:t>
      </w:r>
      <w:r w:rsidRPr="00C8575A">
        <w:rPr>
          <w:color w:val="0070C0"/>
          <w:spacing w:val="-1"/>
        </w:rPr>
        <w:t>б</w:t>
      </w:r>
      <w:r w:rsidRPr="00C8575A">
        <w:rPr>
          <w:color w:val="0070C0"/>
        </w:rPr>
        <w:t>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к</w:t>
      </w:r>
      <w:r w:rsidRPr="00C8575A">
        <w:rPr>
          <w:color w:val="0070C0"/>
        </w:rPr>
        <w:t>а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</w:rPr>
        <w:t>в во</w:t>
      </w:r>
      <w:r w:rsidRPr="00C8575A">
        <w:rPr>
          <w:color w:val="0070C0"/>
          <w:spacing w:val="-1"/>
        </w:rPr>
        <w:t>з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а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</w:rPr>
        <w:t>те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2"/>
        </w:rPr>
        <w:t>д</w:t>
      </w:r>
      <w:r w:rsidRPr="00C8575A">
        <w:rPr>
          <w:color w:val="0070C0"/>
        </w:rPr>
        <w:t>о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2"/>
        </w:rPr>
        <w:t>1</w:t>
      </w:r>
      <w:r w:rsidRPr="00C8575A">
        <w:rPr>
          <w:color w:val="0070C0"/>
        </w:rPr>
        <w:t>2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2"/>
        </w:rPr>
        <w:t>м</w:t>
      </w:r>
      <w:r w:rsidRPr="00C8575A">
        <w:rPr>
          <w:color w:val="0070C0"/>
        </w:rPr>
        <w:t>е</w:t>
      </w:r>
      <w:r w:rsidRPr="00C8575A">
        <w:rPr>
          <w:color w:val="0070C0"/>
          <w:spacing w:val="-1"/>
        </w:rPr>
        <w:t>сяц</w:t>
      </w:r>
      <w:r w:rsidRPr="00C8575A">
        <w:rPr>
          <w:color w:val="0070C0"/>
        </w:rPr>
        <w:t xml:space="preserve">ев, </w:t>
      </w:r>
      <w:r w:rsidRPr="00C8575A">
        <w:rPr>
          <w:color w:val="0070C0"/>
          <w:spacing w:val="-1"/>
        </w:rPr>
        <w:t>з</w:t>
      </w:r>
      <w:r w:rsidRPr="00C8575A">
        <w:rPr>
          <w:color w:val="0070C0"/>
        </w:rPr>
        <w:t>ач</w:t>
      </w:r>
      <w:r w:rsidRPr="00C8575A">
        <w:rPr>
          <w:color w:val="0070C0"/>
          <w:spacing w:val="-1"/>
        </w:rPr>
        <w:t>ис</w:t>
      </w:r>
      <w:r w:rsidRPr="00C8575A">
        <w:rPr>
          <w:color w:val="0070C0"/>
        </w:rPr>
        <w:t>ле</w:t>
      </w:r>
      <w:r w:rsidRPr="00C8575A">
        <w:rPr>
          <w:color w:val="0070C0"/>
          <w:spacing w:val="-2"/>
        </w:rPr>
        <w:t>нн</w:t>
      </w:r>
      <w:r w:rsidRPr="00C8575A">
        <w:rPr>
          <w:color w:val="0070C0"/>
        </w:rPr>
        <w:t>ого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</w:rPr>
        <w:t>в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1"/>
        </w:rPr>
        <w:t>з</w:t>
      </w:r>
      <w:r w:rsidRPr="00C8575A">
        <w:rPr>
          <w:color w:val="0070C0"/>
        </w:rPr>
        <w:t>а</w:t>
      </w:r>
      <w:r w:rsidRPr="00C8575A">
        <w:rPr>
          <w:color w:val="0070C0"/>
          <w:spacing w:val="-2"/>
        </w:rPr>
        <w:t>р</w:t>
      </w:r>
      <w:r w:rsidRPr="00C8575A">
        <w:rPr>
          <w:color w:val="0070C0"/>
        </w:rPr>
        <w:t>ег</w:t>
      </w:r>
      <w:r w:rsidRPr="00C8575A">
        <w:rPr>
          <w:color w:val="0070C0"/>
          <w:spacing w:val="-3"/>
        </w:rPr>
        <w:t>и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</w:rPr>
        <w:t>т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ова</w:t>
      </w:r>
      <w:r w:rsidRPr="00C8575A">
        <w:rPr>
          <w:color w:val="0070C0"/>
          <w:spacing w:val="-2"/>
        </w:rPr>
        <w:t>нн</w:t>
      </w:r>
      <w:r w:rsidRPr="00C8575A">
        <w:rPr>
          <w:color w:val="0070C0"/>
        </w:rPr>
        <w:t>ое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2"/>
        </w:rPr>
        <w:t>д</w:t>
      </w:r>
      <w:r w:rsidRPr="00C8575A">
        <w:rPr>
          <w:color w:val="0070C0"/>
        </w:rPr>
        <w:t>ет</w:t>
      </w:r>
      <w:r w:rsidRPr="00C8575A">
        <w:rPr>
          <w:color w:val="0070C0"/>
          <w:spacing w:val="-1"/>
        </w:rPr>
        <w:t>ск</w:t>
      </w:r>
      <w:r w:rsidRPr="00C8575A">
        <w:rPr>
          <w:color w:val="0070C0"/>
        </w:rPr>
        <w:t>ое</w:t>
      </w:r>
      <w:r w:rsidRPr="00C8575A">
        <w:rPr>
          <w:color w:val="0070C0"/>
          <w:spacing w:val="-1"/>
        </w:rPr>
        <w:t xml:space="preserve"> у</w:t>
      </w:r>
      <w:r w:rsidRPr="00C8575A">
        <w:rPr>
          <w:color w:val="0070C0"/>
        </w:rPr>
        <w:t>ч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ежде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е домаш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</w:rPr>
        <w:t>е</w:t>
      </w:r>
      <w:r w:rsidRPr="00C8575A">
        <w:rPr>
          <w:color w:val="0070C0"/>
          <w:spacing w:val="-2"/>
        </w:rPr>
        <w:t>г</w:t>
      </w:r>
      <w:r w:rsidRPr="00C8575A">
        <w:rPr>
          <w:color w:val="0070C0"/>
        </w:rPr>
        <w:t>о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</w:rPr>
        <w:t>т</w:t>
      </w:r>
      <w:r w:rsidRPr="00C8575A">
        <w:rPr>
          <w:color w:val="0070C0"/>
          <w:spacing w:val="-1"/>
        </w:rPr>
        <w:t>ип</w:t>
      </w:r>
      <w:r w:rsidRPr="00C8575A">
        <w:rPr>
          <w:color w:val="0070C0"/>
        </w:rPr>
        <w:t>а,</w:t>
      </w:r>
      <w:r w:rsidRPr="00C8575A">
        <w:rPr>
          <w:color w:val="0070C0"/>
          <w:spacing w:val="-2"/>
        </w:rPr>
        <w:t xml:space="preserve"> </w:t>
      </w:r>
      <w:r w:rsidRPr="00C8575A">
        <w:rPr>
          <w:color w:val="0070C0"/>
        </w:rPr>
        <w:t>о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</w:rPr>
        <w:t>л</w:t>
      </w:r>
      <w:r w:rsidRPr="00C8575A">
        <w:rPr>
          <w:color w:val="0070C0"/>
          <w:spacing w:val="-1"/>
        </w:rPr>
        <w:t>ю</w:t>
      </w:r>
      <w:r w:rsidRPr="00C8575A">
        <w:rPr>
          <w:color w:val="0070C0"/>
          <w:spacing w:val="-4"/>
        </w:rPr>
        <w:t>б</w:t>
      </w:r>
      <w:r w:rsidRPr="00C8575A">
        <w:rPr>
          <w:color w:val="0070C0"/>
        </w:rPr>
        <w:t>ых вы</w:t>
      </w:r>
      <w:r w:rsidRPr="00C8575A">
        <w:rPr>
          <w:color w:val="0070C0"/>
          <w:spacing w:val="-1"/>
        </w:rPr>
        <w:t>я</w:t>
      </w:r>
      <w:r w:rsidRPr="00C8575A">
        <w:rPr>
          <w:color w:val="0070C0"/>
        </w:rPr>
        <w:t>вле</w:t>
      </w:r>
      <w:r w:rsidRPr="00C8575A">
        <w:rPr>
          <w:color w:val="0070C0"/>
          <w:spacing w:val="-2"/>
        </w:rPr>
        <w:t>нн</w:t>
      </w:r>
      <w:r w:rsidRPr="00C8575A">
        <w:rPr>
          <w:color w:val="0070C0"/>
        </w:rPr>
        <w:t xml:space="preserve">ых 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</w:rPr>
        <w:t>л</w:t>
      </w:r>
      <w:r w:rsidRPr="00C8575A">
        <w:rPr>
          <w:color w:val="0070C0"/>
          <w:spacing w:val="-1"/>
        </w:rPr>
        <w:t>у</w:t>
      </w:r>
      <w:r w:rsidRPr="00C8575A">
        <w:rPr>
          <w:color w:val="0070C0"/>
        </w:rPr>
        <w:t>ча</w:t>
      </w:r>
      <w:r w:rsidRPr="00C8575A">
        <w:rPr>
          <w:color w:val="0070C0"/>
          <w:spacing w:val="-1"/>
        </w:rPr>
        <w:t>я</w:t>
      </w:r>
      <w:r w:rsidRPr="00C8575A">
        <w:rPr>
          <w:color w:val="0070C0"/>
        </w:rPr>
        <w:t>х</w:t>
      </w:r>
      <w:r w:rsidRPr="00C8575A">
        <w:rPr>
          <w:color w:val="0070C0"/>
          <w:spacing w:val="2"/>
        </w:rPr>
        <w:t xml:space="preserve"> 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</w:rPr>
        <w:t>е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</w:rPr>
        <w:t>о</w:t>
      </w:r>
      <w:r w:rsidRPr="00C8575A">
        <w:rPr>
          <w:color w:val="0070C0"/>
          <w:spacing w:val="-1"/>
        </w:rPr>
        <w:t>б</w:t>
      </w:r>
      <w:r w:rsidRPr="00C8575A">
        <w:rPr>
          <w:color w:val="0070C0"/>
        </w:rPr>
        <w:t>л</w:t>
      </w:r>
      <w:r w:rsidRPr="00C8575A">
        <w:rPr>
          <w:color w:val="0070C0"/>
          <w:spacing w:val="-1"/>
        </w:rPr>
        <w:t>ю</w:t>
      </w:r>
      <w:r w:rsidRPr="00C8575A">
        <w:rPr>
          <w:color w:val="0070C0"/>
        </w:rPr>
        <w:t>де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 xml:space="preserve">я </w:t>
      </w:r>
      <w:r w:rsidRPr="00C8575A">
        <w:rPr>
          <w:color w:val="0070C0"/>
          <w:spacing w:val="-1"/>
        </w:rPr>
        <w:t>у</w:t>
      </w:r>
      <w:r w:rsidRPr="00C8575A">
        <w:rPr>
          <w:color w:val="0070C0"/>
        </w:rPr>
        <w:t>ч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ежде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ем</w:t>
      </w:r>
      <w:r w:rsidRPr="00C8575A">
        <w:rPr>
          <w:color w:val="0070C0"/>
          <w:spacing w:val="1"/>
        </w:rPr>
        <w:t xml:space="preserve"> </w:t>
      </w:r>
      <w:r w:rsidRPr="00C8575A">
        <w:rPr>
          <w:color w:val="0070C0"/>
          <w:spacing w:val="-1"/>
        </w:rPr>
        <w:t>п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>ав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л о</w:t>
      </w:r>
      <w:r w:rsidRPr="00C8575A">
        <w:rPr>
          <w:color w:val="0070C0"/>
          <w:spacing w:val="-1"/>
        </w:rPr>
        <w:t>б</w:t>
      </w:r>
      <w:r w:rsidRPr="00C8575A">
        <w:rPr>
          <w:color w:val="0070C0"/>
        </w:rPr>
        <w:t>е</w:t>
      </w:r>
      <w:r w:rsidRPr="00C8575A">
        <w:rPr>
          <w:color w:val="0070C0"/>
          <w:spacing w:val="-1"/>
        </w:rPr>
        <w:t>сп</w:t>
      </w:r>
      <w:r w:rsidRPr="00C8575A">
        <w:rPr>
          <w:color w:val="0070C0"/>
        </w:rPr>
        <w:t>ече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-1"/>
        </w:rPr>
        <w:t>и</w:t>
      </w:r>
      <w:r w:rsidRPr="00C8575A">
        <w:rPr>
          <w:color w:val="0070C0"/>
        </w:rPr>
        <w:t>я</w:t>
      </w:r>
      <w:r w:rsidRPr="00C8575A">
        <w:rPr>
          <w:color w:val="0070C0"/>
          <w:spacing w:val="-1"/>
        </w:rPr>
        <w:t xml:space="preserve"> б</w:t>
      </w:r>
      <w:r w:rsidRPr="00C8575A">
        <w:rPr>
          <w:color w:val="0070C0"/>
        </w:rPr>
        <w:t>е</w:t>
      </w:r>
      <w:r w:rsidRPr="00C8575A">
        <w:rPr>
          <w:color w:val="0070C0"/>
          <w:spacing w:val="-1"/>
        </w:rPr>
        <w:t>з</w:t>
      </w:r>
      <w:r w:rsidRPr="00C8575A">
        <w:rPr>
          <w:color w:val="0070C0"/>
        </w:rPr>
        <w:t>о</w:t>
      </w:r>
      <w:r w:rsidRPr="00C8575A">
        <w:rPr>
          <w:color w:val="0070C0"/>
          <w:spacing w:val="-1"/>
        </w:rPr>
        <w:t>п</w:t>
      </w:r>
      <w:r w:rsidRPr="00C8575A">
        <w:rPr>
          <w:color w:val="0070C0"/>
        </w:rPr>
        <w:t>а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  <w:spacing w:val="3"/>
        </w:rPr>
        <w:t>о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</w:rPr>
        <w:t xml:space="preserve">ти во </w:t>
      </w:r>
      <w:r w:rsidRPr="00C8575A">
        <w:rPr>
          <w:color w:val="0070C0"/>
          <w:spacing w:val="-3"/>
        </w:rPr>
        <w:t>в</w:t>
      </w:r>
      <w:r w:rsidRPr="00C8575A">
        <w:rPr>
          <w:color w:val="0070C0"/>
          <w:spacing w:val="1"/>
        </w:rPr>
        <w:t>р</w:t>
      </w:r>
      <w:r w:rsidRPr="00C8575A">
        <w:rPr>
          <w:color w:val="0070C0"/>
        </w:rPr>
        <w:t xml:space="preserve">емя </w:t>
      </w:r>
      <w:r w:rsidRPr="00C8575A">
        <w:rPr>
          <w:color w:val="0070C0"/>
          <w:spacing w:val="-1"/>
        </w:rPr>
        <w:t>с</w:t>
      </w:r>
      <w:r w:rsidRPr="00C8575A">
        <w:rPr>
          <w:color w:val="0070C0"/>
          <w:spacing w:val="-2"/>
        </w:rPr>
        <w:t>н</w:t>
      </w:r>
      <w:r w:rsidRPr="00C8575A">
        <w:rPr>
          <w:color w:val="0070C0"/>
        </w:rPr>
        <w:t>а,</w:t>
      </w:r>
      <w:r w:rsidRPr="00C8575A">
        <w:rPr>
          <w:color w:val="0070C0"/>
          <w:spacing w:val="-1"/>
        </w:rPr>
        <w:t xml:space="preserve"> изл</w:t>
      </w:r>
      <w:r w:rsidRPr="00C8575A">
        <w:rPr>
          <w:color w:val="0070C0"/>
          <w:spacing w:val="-2"/>
        </w:rPr>
        <w:t>о</w:t>
      </w:r>
      <w:r w:rsidRPr="00C8575A">
        <w:rPr>
          <w:color w:val="0070C0"/>
        </w:rPr>
        <w:t>же</w:t>
      </w:r>
      <w:r w:rsidRPr="00C8575A">
        <w:rPr>
          <w:color w:val="0070C0"/>
          <w:spacing w:val="-2"/>
        </w:rPr>
        <w:t>нн</w:t>
      </w:r>
      <w:r w:rsidRPr="00C8575A">
        <w:rPr>
          <w:color w:val="0070C0"/>
        </w:rPr>
        <w:t xml:space="preserve">ых в </w:t>
      </w:r>
      <w:r w:rsidRPr="00C8575A">
        <w:rPr>
          <w:color w:val="0070C0"/>
          <w:spacing w:val="-1"/>
        </w:rPr>
        <w:t>п</w:t>
      </w:r>
      <w:r w:rsidRPr="00C8575A">
        <w:rPr>
          <w:color w:val="0070C0"/>
        </w:rPr>
        <w:t xml:space="preserve">. </w:t>
      </w:r>
      <w:r w:rsidRPr="00C8575A">
        <w:rPr>
          <w:rFonts w:ascii="Calibri" w:eastAsia="Calibri" w:hAnsi="Calibri" w:cs="Calibri"/>
          <w:color w:val="0070C0"/>
          <w:spacing w:val="-1"/>
        </w:rPr>
        <w:t>O</w:t>
      </w:r>
      <w:r w:rsidRPr="00C8575A">
        <w:rPr>
          <w:rFonts w:ascii="Calibri" w:eastAsia="Calibri" w:hAnsi="Calibri" w:cs="Calibri"/>
          <w:color w:val="0070C0"/>
        </w:rPr>
        <w:t>AR</w:t>
      </w:r>
      <w:r w:rsidRPr="00C8575A">
        <w:rPr>
          <w:rFonts w:ascii="Calibri" w:eastAsia="Calibri" w:hAnsi="Calibri" w:cs="Calibri"/>
          <w:color w:val="0070C0"/>
          <w:spacing w:val="-1"/>
        </w:rPr>
        <w:t xml:space="preserve"> </w:t>
      </w:r>
      <w:r w:rsidRPr="00C8575A">
        <w:rPr>
          <w:color w:val="0070C0"/>
        </w:rPr>
        <w:t>41</w:t>
      </w:r>
      <w:r w:rsidRPr="00C8575A">
        <w:rPr>
          <w:color w:val="0070C0"/>
          <w:spacing w:val="-2"/>
        </w:rPr>
        <w:t>4</w:t>
      </w:r>
      <w:r w:rsidRPr="00C8575A">
        <w:rPr>
          <w:rFonts w:ascii="Calibri" w:eastAsia="Calibri" w:hAnsi="Calibri" w:cs="Calibri"/>
          <w:color w:val="0070C0"/>
        </w:rPr>
        <w:t>‐</w:t>
      </w:r>
      <w:r w:rsidRPr="00C8575A">
        <w:rPr>
          <w:color w:val="0070C0"/>
        </w:rPr>
        <w:t>2</w:t>
      </w:r>
      <w:r w:rsidRPr="00C8575A">
        <w:rPr>
          <w:color w:val="0070C0"/>
          <w:spacing w:val="-2"/>
        </w:rPr>
        <w:t>0</w:t>
      </w:r>
      <w:r w:rsidRPr="00C8575A">
        <w:rPr>
          <w:color w:val="0070C0"/>
        </w:rPr>
        <w:t>5</w:t>
      </w:r>
      <w:r w:rsidRPr="00C8575A">
        <w:rPr>
          <w:rFonts w:ascii="Calibri" w:eastAsia="Calibri" w:hAnsi="Calibri" w:cs="Calibri"/>
          <w:color w:val="0070C0"/>
        </w:rPr>
        <w:t>‐</w:t>
      </w:r>
      <w:r w:rsidRPr="00C8575A">
        <w:rPr>
          <w:color w:val="0070C0"/>
        </w:rPr>
        <w:t>0</w:t>
      </w:r>
      <w:r w:rsidRPr="00C8575A">
        <w:rPr>
          <w:color w:val="0070C0"/>
          <w:spacing w:val="-2"/>
        </w:rPr>
        <w:t>0</w:t>
      </w:r>
      <w:r w:rsidRPr="00C8575A">
        <w:rPr>
          <w:color w:val="0070C0"/>
        </w:rPr>
        <w:t>90</w:t>
      </w:r>
      <w:r w:rsidRPr="00C8575A">
        <w:rPr>
          <w:color w:val="0070C0"/>
          <w:spacing w:val="-1"/>
        </w:rPr>
        <w:t>(</w:t>
      </w:r>
      <w:r w:rsidRPr="00C8575A">
        <w:rPr>
          <w:color w:val="0070C0"/>
        </w:rPr>
        <w:t>11</w:t>
      </w:r>
      <w:r w:rsidRPr="00C8575A">
        <w:rPr>
          <w:color w:val="0070C0"/>
          <w:spacing w:val="-1"/>
        </w:rPr>
        <w:t>)</w:t>
      </w:r>
      <w:r w:rsidRPr="00C8575A">
        <w:rPr>
          <w:color w:val="0070C0"/>
        </w:rPr>
        <w:t>.</w:t>
      </w:r>
    </w:p>
    <w:p w:rsidR="00C8575A" w:rsidRDefault="00C8575A" w:rsidP="00D37136">
      <w:pPr>
        <w:spacing w:after="0" w:line="240" w:lineRule="auto"/>
        <w:rPr>
          <w:b/>
        </w:rPr>
      </w:pPr>
    </w:p>
    <w:p w:rsidR="00D37136" w:rsidRPr="00D37136" w:rsidRDefault="00D37136" w:rsidP="00D37136">
      <w:pPr>
        <w:spacing w:after="0" w:line="240" w:lineRule="auto"/>
        <w:rPr>
          <w:b/>
        </w:rPr>
      </w:pPr>
      <w:r w:rsidRPr="00D37136">
        <w:rPr>
          <w:b/>
        </w:rPr>
        <w:t>414‐205‐0055</w:t>
      </w:r>
    </w:p>
    <w:p w:rsidR="00D37136" w:rsidRDefault="00D37136" w:rsidP="00D37136">
      <w:pPr>
        <w:spacing w:after="0" w:line="240" w:lineRule="auto"/>
        <w:rPr>
          <w:b/>
        </w:rPr>
      </w:pPr>
      <w:r w:rsidRPr="00D37136">
        <w:rPr>
          <w:b/>
        </w:rPr>
        <w:t>Требования к обучению</w:t>
      </w:r>
      <w:bookmarkEnd w:id="2"/>
    </w:p>
    <w:p w:rsidR="00D37136" w:rsidRDefault="00D37136" w:rsidP="00D37136">
      <w:pPr>
        <w:spacing w:after="0" w:line="240" w:lineRule="auto"/>
        <w:rPr>
          <w:b/>
        </w:rPr>
      </w:pPr>
    </w:p>
    <w:p w:rsidR="00D37136" w:rsidRDefault="00D37136" w:rsidP="00D37136">
      <w:pPr>
        <w:spacing w:after="0" w:line="240" w:lineRule="auto"/>
        <w:rPr>
          <w:color w:val="0070C0"/>
          <w:lang w:val="ru-RU"/>
        </w:rPr>
      </w:pPr>
      <w:r w:rsidRPr="00D37136">
        <w:rPr>
          <w:color w:val="0070C0"/>
        </w:rPr>
        <w:t xml:space="preserve">(5) </w:t>
      </w:r>
      <w:r w:rsidRPr="00D37136">
        <w:rPr>
          <w:color w:val="0070C0"/>
          <w:lang w:val="ru-RU"/>
        </w:rPr>
        <w:t>Все провайдеры с действующей регистрацией должны пройти инструктаж по обеспечению безопасности детей во время сна в срок до 1 января 2019 года.</w:t>
      </w:r>
    </w:p>
    <w:p w:rsidR="00D37136" w:rsidRDefault="00D37136" w:rsidP="00D37136">
      <w:pPr>
        <w:spacing w:after="0" w:line="240" w:lineRule="auto"/>
        <w:rPr>
          <w:color w:val="0070C0"/>
          <w:lang w:val="ru-RU"/>
        </w:rPr>
      </w:pPr>
    </w:p>
    <w:p w:rsidR="00D37136" w:rsidRPr="00D37136" w:rsidRDefault="00D37136" w:rsidP="00D37136">
      <w:pPr>
        <w:spacing w:after="0" w:line="240" w:lineRule="auto"/>
        <w:rPr>
          <w:b/>
        </w:rPr>
      </w:pPr>
      <w:bookmarkStart w:id="3" w:name="_Toc535495248"/>
      <w:r w:rsidRPr="00D37136">
        <w:rPr>
          <w:b/>
        </w:rPr>
        <w:t>414‐205‐0090</w:t>
      </w:r>
    </w:p>
    <w:p w:rsidR="00D37136" w:rsidRDefault="00D37136" w:rsidP="00D37136">
      <w:pPr>
        <w:spacing w:after="0" w:line="240" w:lineRule="auto"/>
        <w:rPr>
          <w:b/>
        </w:rPr>
      </w:pPr>
      <w:r w:rsidRPr="00D37136">
        <w:rPr>
          <w:b/>
        </w:rPr>
        <w:t>Программа деятельности</w:t>
      </w:r>
      <w:bookmarkEnd w:id="3"/>
    </w:p>
    <w:p w:rsidR="00D37136" w:rsidRDefault="00D37136" w:rsidP="00D37136">
      <w:pPr>
        <w:spacing w:after="0" w:line="240" w:lineRule="auto"/>
        <w:rPr>
          <w:b/>
        </w:rPr>
      </w:pPr>
    </w:p>
    <w:p w:rsidR="00D37136" w:rsidRDefault="00D37136" w:rsidP="00D37136">
      <w:pPr>
        <w:spacing w:after="0" w:line="240" w:lineRule="auto"/>
        <w:rPr>
          <w:lang w:val="ru-RU"/>
        </w:rPr>
      </w:pPr>
      <w:r>
        <w:t xml:space="preserve">(11) </w:t>
      </w:r>
      <w:r w:rsidRPr="00314546">
        <w:rPr>
          <w:lang w:val="ru-RU"/>
        </w:rPr>
        <w:t>Необходимо соблюдать следующие меры обеспечения безопасности детей во время сна:</w:t>
      </w:r>
    </w:p>
    <w:p w:rsidR="00D37136" w:rsidRDefault="00D37136" w:rsidP="00D37136">
      <w:pPr>
        <w:spacing w:after="0" w:line="240" w:lineRule="auto"/>
        <w:rPr>
          <w:lang w:val="ru-RU"/>
        </w:rPr>
      </w:pPr>
    </w:p>
    <w:p w:rsidR="00D37136" w:rsidRPr="00C0020C" w:rsidRDefault="00D37136" w:rsidP="00D37136">
      <w:pPr>
        <w:spacing w:after="0" w:line="240" w:lineRule="auto"/>
        <w:rPr>
          <w:rFonts w:cstheme="minorHAnsi"/>
          <w:color w:val="333333"/>
        </w:rPr>
      </w:pPr>
      <w:r>
        <w:t xml:space="preserve">(h) </w:t>
      </w:r>
      <w:r w:rsidR="00C0020C" w:rsidRPr="00C0020C">
        <w:rPr>
          <w:rFonts w:cstheme="minorHAnsi"/>
          <w:lang w:val="ru-RU"/>
        </w:rPr>
        <w:t xml:space="preserve">В стационарных кроватках, </w:t>
      </w:r>
      <w:r w:rsidR="00C0020C" w:rsidRPr="00C0020C">
        <w:rPr>
          <w:rFonts w:cstheme="minorHAnsi"/>
          <w:color w:val="0070C0"/>
          <w:lang w:val="ru-RU"/>
        </w:rPr>
        <w:t xml:space="preserve">переносных кроватках, люльках и манежах </w:t>
      </w:r>
      <w:r w:rsidR="00C0020C" w:rsidRPr="00C0020C">
        <w:rPr>
          <w:rFonts w:cstheme="minorHAnsi"/>
          <w:lang w:val="ru-RU"/>
        </w:rPr>
        <w:t>для младенцев не должно быть никаких предметов, кроме соски (например, бутылочек, погремушек, подушек, мягких игрушек, одеял, мягких накладок на бортики);</w:t>
      </w:r>
    </w:p>
    <w:p w:rsidR="00D37136" w:rsidRDefault="00D37136" w:rsidP="00D37136">
      <w:pPr>
        <w:spacing w:after="0" w:line="240" w:lineRule="auto"/>
        <w:rPr>
          <w:rFonts w:cstheme="minorHAnsi"/>
          <w:color w:val="333333"/>
        </w:rPr>
      </w:pPr>
    </w:p>
    <w:p w:rsidR="00D37136" w:rsidRPr="00D37136" w:rsidRDefault="00D37136" w:rsidP="00D37136">
      <w:pPr>
        <w:spacing w:after="0" w:line="240" w:lineRule="auto"/>
        <w:rPr>
          <w:b/>
          <w:color w:val="0070C0"/>
          <w:lang w:val="ru-RU"/>
        </w:rPr>
      </w:pPr>
      <w:bookmarkStart w:id="4" w:name="_Toc535495250"/>
      <w:r w:rsidRPr="00D37136">
        <w:rPr>
          <w:b/>
          <w:color w:val="0070C0"/>
          <w:lang w:val="ru-RU"/>
        </w:rPr>
        <w:t>414-205-0105</w:t>
      </w:r>
    </w:p>
    <w:p w:rsidR="00D37136" w:rsidRDefault="00D37136" w:rsidP="00D37136">
      <w:pPr>
        <w:spacing w:after="0" w:line="240" w:lineRule="auto"/>
        <w:rPr>
          <w:b/>
          <w:color w:val="0070C0"/>
          <w:lang w:val="ru-RU"/>
        </w:rPr>
      </w:pPr>
      <w:r w:rsidRPr="00D37136">
        <w:rPr>
          <w:b/>
          <w:color w:val="0070C0"/>
          <w:lang w:val="ru-RU"/>
        </w:rPr>
        <w:t>Анализ питьевой воды на содержание свинца</w:t>
      </w:r>
      <w:bookmarkEnd w:id="4"/>
    </w:p>
    <w:p w:rsidR="00C0020C" w:rsidRPr="00C0020C" w:rsidRDefault="00C0020C" w:rsidP="00D37136">
      <w:pPr>
        <w:spacing w:after="0" w:line="240" w:lineRule="auto"/>
        <w:rPr>
          <w:rFonts w:cstheme="minorHAnsi"/>
          <w:b/>
          <w:i/>
          <w:color w:val="0070C0"/>
        </w:rPr>
      </w:pPr>
      <w:r w:rsidRPr="00C0020C">
        <w:rPr>
          <w:rFonts w:cstheme="minorHAnsi"/>
          <w:i/>
          <w:lang w:val="ru-RU"/>
        </w:rPr>
        <w:t xml:space="preserve">Правила для провередения анализа воды на содержание свинца были перенесены в этот новый раздел. </w:t>
      </w:r>
      <w:r w:rsidRPr="00C0020C">
        <w:rPr>
          <w:rFonts w:cstheme="minorHAnsi"/>
          <w:i/>
        </w:rPr>
        <w:t>Содержание правил осталось без изменений.</w:t>
      </w:r>
    </w:p>
    <w:p w:rsidR="00D37136" w:rsidRDefault="00D37136" w:rsidP="00D37136">
      <w:pPr>
        <w:spacing w:after="0" w:line="240" w:lineRule="auto"/>
        <w:rPr>
          <w:b/>
          <w:color w:val="FF0000"/>
        </w:rPr>
      </w:pP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(1)</w:t>
      </w:r>
      <w:r w:rsidRPr="00D37136">
        <w:rPr>
          <w:color w:val="0070C0"/>
        </w:rPr>
        <w:tab/>
        <w:t xml:space="preserve">В контексте этих правил понятие «кран или сантехническое оборудование для питьевой воды»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означает любое установленное на территории учреждения сантехническое оборудование, которое используется для получения воды для питья, кухонных нужд, приготовления пищи и детского питания;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не включает сантехническое оборудование, которое используется для получения воды для мытья рук, купания или смены подгузников.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(2)</w:t>
      </w:r>
      <w:r w:rsidRPr="00D37136">
        <w:rPr>
          <w:color w:val="0070C0"/>
        </w:rPr>
        <w:tab/>
        <w:t xml:space="preserve">Воду, полученную из оборудования, указанного в подпункте (1)(b) данного правила, применять для питья, кухонных нужд, приготовления пищи и детского питания запрещается.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lastRenderedPageBreak/>
        <w:t>(3)</w:t>
      </w:r>
      <w:r w:rsidRPr="00D37136">
        <w:rPr>
          <w:color w:val="0070C0"/>
        </w:rPr>
        <w:tab/>
        <w:t>Первоначальный анализ воды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Любой провайдер с регистрацией, действующей по состоянию на 30 сентября 2018 г., сроком до 30 ноября 2018 г. обязан провести анализ проб воды из каждого крана или сантехнического оборудования для питьевой воды.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Следующим провайдерам необходимо выполнить анализ питьевой воды из каждого крана или другого сантехнического оборудования на содержание свинца, чтобы получить право на регистрацию Отделом регулирования детских учреждений: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Любой провайдер, заявление которого о регистрации находилось на рассмотрении по состоянию на 30 сентября 2018 г.;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Любой провайдер, подавший заявление о регистрации 30 сентября 2018 г. или позднее, включая, помимо прочего, первоначальное заявление, заявление о продлении и возобновлении регистрации.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(c)</w:t>
      </w:r>
      <w:r w:rsidRPr="00D37136">
        <w:rPr>
          <w:color w:val="0070C0"/>
        </w:rPr>
        <w:tab/>
        <w:t xml:space="preserve">Провайдерам, указанным в подпункте (3)(a) или (b), нет необходимости проводить первоначальный анализ, при условии, что: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Все водопроводные краны или сантехническое оборудование в учреждении прошли проверку в течение 6 лет до даты вступления в силу настоящего правила;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Анализ был выполнен в соответствии с требованиями подпункта (5) настоящего правила.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(d)</w:t>
      </w:r>
      <w:r w:rsidRPr="00D37136">
        <w:rPr>
          <w:color w:val="0070C0"/>
        </w:rPr>
        <w:tab/>
        <w:t xml:space="preserve">Провайдеры, указанные в подпункте (3)(a), обязаны направить все результаты анализов в OCC не позднее 30 ноября 2018 г. К результатам следует приложить письменное заявление с указанием расположения каждого проверенного крана или сантехнического оборудования для питьевой воды.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(e)</w:t>
      </w:r>
      <w:r w:rsidRPr="00D37136">
        <w:rPr>
          <w:color w:val="0070C0"/>
        </w:rPr>
        <w:tab/>
        <w:t xml:space="preserve">Провайдеры, указанные в подпункте (3)(b), обязаны сдать результаты проб в OCC в течение 10 календарных дней после получения результатов из лаборатории. К результатам следует приложить письменное заявление с указанием расположения каждого проверенного крана или сантехнического оборудования для питьевой воды.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(4)</w:t>
      </w:r>
      <w:r w:rsidRPr="00D37136">
        <w:rPr>
          <w:color w:val="0070C0"/>
        </w:rPr>
        <w:tab/>
        <w:t xml:space="preserve">Проведение последующих анализов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После проведения провайдером первоначального анализа в соответствии с подпунктом (3) настоящего правила, провайдер обязан брать пробы на анализ из всех кранов и сантехнического оборудования для питьевой воды не реже одного раза в шесть лет с даты последней проведенной проверки.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Все результаты анализов, полученные в соответствии с подпунктом (4)(a) настоящего правила, должны быть направлены в OCC в течение 10 календарных дней после получения провайдером результатов из лаборатории. К результатам следует приложить письменное заявление с указанием расположения каждого проверенного крана или сантехнического оборудования для питьевой воды.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(5)</w:t>
      </w:r>
      <w:r w:rsidRPr="00D37136">
        <w:rPr>
          <w:color w:val="0070C0"/>
        </w:rPr>
        <w:tab/>
        <w:t xml:space="preserve">Забор и анализ проб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Забор и анализ проб производятся строго в соответствии с Руководством по Программе 3T по сокращению содержания свинца в питьевой воде в школах и детских дошкольных учреждениях Агентства по охране окружающей среды (Environmental Protection Agency, EPA) с поправками от октября 2018 г.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Анализ в обязательном порядке производится в лаборатории, аккредитованной по программе аккредитации лабораторий в штате Орегон в соответствии со стандартами, предусмотренными главой 333 раздела 64 OAR, которые действовали по состоянию на 30 сентября 2018 г.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lastRenderedPageBreak/>
        <w:t>(c)</w:t>
      </w:r>
      <w:r w:rsidRPr="00D37136">
        <w:rPr>
          <w:color w:val="0070C0"/>
        </w:rPr>
        <w:tab/>
        <w:t xml:space="preserve">Если учреждение не использует воду из имеющегося в учреждении сантехнического оборудования для питья, кухонных нужд, приготовления пищи и детского питания, то провайдер обязан: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Направить в OCC письменное заявление с указанием альтернативного источника воды и подтвердить, что провайдер не использует имеющееся в учреждении сантехническое оборудование для получения воды для питья, кухонных нужд, приготовления пищи и детского питания;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Уведомить Отдел регулирования детских учреждений в письменном виде в случае изменения альтернативного источника воды.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(6)</w:t>
      </w:r>
      <w:r w:rsidRPr="00D37136">
        <w:rPr>
          <w:color w:val="0070C0"/>
        </w:rPr>
        <w:tab/>
        <w:t xml:space="preserve">Результаты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Если результаты анализа пробы из любого крана или сантехнического оборудования для питьевой воды показали содержание свинца в воде 15 мкг/л (15 ppb)  и более, провайдер обязан: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Незамедлительно после получения результатов анализа исключить возможность доступа к этому крану или сантехническому оборудованию для питьевой воды;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Ограничивать доступ к данному крану или сантехническому оборудованию для питьевой воды вплоть до окончания корректирующих мероприятий в соответствии с подпунктом (6)(b) настоящего правила.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После получения результатов анализа, показавших содержание свинца в воде 15 мкг/л (15 ppb)  и более в пробе из любого крана или сантехнического оборудования для питьевой воды, провайдер обязан: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(A)</w:t>
      </w:r>
      <w:r w:rsidRPr="00D37136">
        <w:rPr>
          <w:color w:val="0070C0"/>
        </w:rPr>
        <w:tab/>
        <w:t xml:space="preserve">В течение 60 дней с момента получения результатов анализа направить в OCC план корректирующих мероприятий. В плане корректирующих мероприятий должна быть обозначена надлежащая стратегия по устранению несоответствия, разработанная в соответствии с модулем 6 Руководства по Программе 3T по сокращению содержания свинца в питьевой воде в школах и детских дошкольных учреждениях EPA с поправками от октября 2018 г.; и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Осуществить корректирующие мероприятия в течение 30 дней после их одобрения в OCC. </w:t>
      </w:r>
    </w:p>
    <w:p w:rsid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(7)</w:t>
      </w:r>
      <w:r w:rsidRPr="00D37136">
        <w:rPr>
          <w:color w:val="0070C0"/>
        </w:rPr>
        <w:tab/>
        <w:t xml:space="preserve">Хранение документации и объявления </w:t>
      </w:r>
    </w:p>
    <w:p w:rsidR="00F166D0" w:rsidRPr="00D37136" w:rsidRDefault="00F166D0" w:rsidP="00D37136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(a)          </w:t>
      </w:r>
      <w:r w:rsidRPr="00F166D0">
        <w:rPr>
          <w:color w:val="0070C0"/>
        </w:rPr>
        <w:t>провайдер должен всегда иметь при себе копию самых последних результатов тестирования на месте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(b)</w:t>
      </w:r>
      <w:r w:rsidRPr="00D37136">
        <w:rPr>
          <w:color w:val="0070C0"/>
        </w:rPr>
        <w:tab/>
        <w:t xml:space="preserve">Провайдер обязан постоянно хранить в учреждении копию результатов самого последнего анализа. </w:t>
      </w:r>
    </w:p>
    <w:p w:rsidR="00D37136" w:rsidRP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(c)</w:t>
      </w:r>
      <w:r w:rsidRPr="00D37136">
        <w:rPr>
          <w:color w:val="0070C0"/>
        </w:rPr>
        <w:tab/>
        <w:t xml:space="preserve">Провайдер обязан вывесить полученные из ОСС результаты последних проведенных анализов на содержание свинца на видном месте в учреждении так, чтобы с ними могли беспрепятственно ознакомиться родители. Провайдер обязан вывесить результаты анализов на содержание свинца незамедлительно после получения заключения из OCC. </w:t>
      </w:r>
    </w:p>
    <w:p w:rsidR="00D37136" w:rsidRDefault="00D37136" w:rsidP="00D37136">
      <w:pPr>
        <w:spacing w:after="0" w:line="240" w:lineRule="auto"/>
        <w:rPr>
          <w:color w:val="0070C0"/>
        </w:rPr>
      </w:pPr>
      <w:r w:rsidRPr="00D37136">
        <w:rPr>
          <w:color w:val="0070C0"/>
        </w:rPr>
        <w:t>(8)</w:t>
      </w:r>
      <w:r w:rsidRPr="00D37136">
        <w:rPr>
          <w:color w:val="0070C0"/>
        </w:rPr>
        <w:tab/>
        <w:t>Провайдер обязаны соблюдать процедуры, предусмотренные модулем 6 Руководства по Программе 3T по сокращению содержания свинца в питьевой воде в школах и детских дошкольных учреждениях с поправками от октября 2018 г.</w:t>
      </w:r>
    </w:p>
    <w:p w:rsidR="00984AA1" w:rsidRDefault="00984AA1" w:rsidP="00D37136">
      <w:pPr>
        <w:spacing w:after="0" w:line="240" w:lineRule="auto"/>
        <w:rPr>
          <w:color w:val="0070C0"/>
        </w:rPr>
      </w:pPr>
    </w:p>
    <w:p w:rsidR="00984AA1" w:rsidRDefault="00984AA1" w:rsidP="00D37136">
      <w:pPr>
        <w:spacing w:after="0" w:line="240" w:lineRule="auto"/>
        <w:rPr>
          <w:color w:val="0070C0"/>
        </w:rPr>
      </w:pPr>
    </w:p>
    <w:p w:rsidR="00984AA1" w:rsidRPr="00984AA1" w:rsidRDefault="00984AA1" w:rsidP="00D37136">
      <w:pPr>
        <w:spacing w:after="0" w:line="240" w:lineRule="auto"/>
        <w:rPr>
          <w:b/>
          <w:lang w:val="ru-RU"/>
        </w:rPr>
      </w:pPr>
      <w:bookmarkStart w:id="5" w:name="_Toc535495251"/>
      <w:r w:rsidRPr="00984AA1">
        <w:rPr>
          <w:b/>
          <w:lang w:val="ru-RU"/>
        </w:rPr>
        <w:t>414‐205‐0110</w:t>
      </w:r>
    </w:p>
    <w:p w:rsidR="00984AA1" w:rsidRDefault="00984AA1" w:rsidP="00D37136">
      <w:pPr>
        <w:spacing w:after="0" w:line="240" w:lineRule="auto"/>
        <w:rPr>
          <w:b/>
          <w:lang w:val="ru-RU"/>
        </w:rPr>
      </w:pPr>
      <w:r w:rsidRPr="00984AA1">
        <w:rPr>
          <w:b/>
          <w:lang w:val="ru-RU"/>
        </w:rPr>
        <w:t>Меры безопасности</w:t>
      </w:r>
      <w:bookmarkEnd w:id="5"/>
    </w:p>
    <w:p w:rsidR="00984AA1" w:rsidRPr="00984AA1" w:rsidRDefault="00984AA1" w:rsidP="00D37136">
      <w:pPr>
        <w:spacing w:after="0" w:line="240" w:lineRule="auto"/>
        <w:rPr>
          <w:b/>
          <w:color w:val="0070C0"/>
        </w:rPr>
      </w:pPr>
    </w:p>
    <w:p w:rsidR="00984AA1" w:rsidRPr="00984AA1" w:rsidRDefault="00984AA1" w:rsidP="00D37136">
      <w:pPr>
        <w:spacing w:after="0" w:line="240" w:lineRule="auto"/>
        <w:rPr>
          <w:strike/>
          <w:color w:val="0070C0"/>
        </w:rPr>
      </w:pPr>
      <w:r>
        <w:rPr>
          <w:strike/>
          <w:color w:val="FF0000"/>
        </w:rPr>
        <w:t xml:space="preserve">(8) </w:t>
      </w:r>
      <w:r w:rsidRPr="00984AA1">
        <w:rPr>
          <w:strike/>
          <w:color w:val="FF0000"/>
        </w:rPr>
        <w:t>Дети, которые прибывают в дом поставщика, спящий на автомобильном сиденье, могут оставаться в автомобильном кресле до тех пор, пока ребенок не проснется.</w:t>
      </w:r>
    </w:p>
    <w:sectPr w:rsidR="00984AA1" w:rsidRPr="0098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6"/>
    <w:rsid w:val="00064D49"/>
    <w:rsid w:val="0009345E"/>
    <w:rsid w:val="003F6983"/>
    <w:rsid w:val="004159AA"/>
    <w:rsid w:val="00712E0C"/>
    <w:rsid w:val="00984AA1"/>
    <w:rsid w:val="00B00F77"/>
    <w:rsid w:val="00B01343"/>
    <w:rsid w:val="00B56B6A"/>
    <w:rsid w:val="00C0020C"/>
    <w:rsid w:val="00C8575A"/>
    <w:rsid w:val="00CB56F4"/>
    <w:rsid w:val="00D37136"/>
    <w:rsid w:val="00E70EDF"/>
    <w:rsid w:val="00F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159B1-03D9-4BC3-B13D-127D79C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 Peter H - ELD</dc:creator>
  <cp:keywords/>
  <dc:description/>
  <cp:lastModifiedBy>Lacey D. Davis</cp:lastModifiedBy>
  <cp:revision>2</cp:revision>
  <dcterms:created xsi:type="dcterms:W3CDTF">2019-02-26T23:53:00Z</dcterms:created>
  <dcterms:modified xsi:type="dcterms:W3CDTF">2019-02-26T23:53:00Z</dcterms:modified>
</cp:coreProperties>
</file>