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6C" w:rsidRDefault="0066306C" w:rsidP="0066306C">
      <w:pPr>
        <w:rPr>
          <w:color w:val="000000"/>
        </w:rPr>
      </w:pPr>
      <w:bookmarkStart w:id="0" w:name="_GoBack"/>
      <w:bookmarkEnd w:id="0"/>
      <w:r>
        <w:rPr>
          <w:color w:val="000000"/>
        </w:rPr>
        <w:t xml:space="preserve">Dear Providers, </w:t>
      </w:r>
    </w:p>
    <w:p w:rsidR="00FA66C3" w:rsidRDefault="00FA66C3" w:rsidP="0066306C">
      <w:pPr>
        <w:rPr>
          <w:color w:val="000000"/>
        </w:rPr>
      </w:pPr>
    </w:p>
    <w:p w:rsidR="0066306C" w:rsidRDefault="0066306C" w:rsidP="0066306C">
      <w:pPr>
        <w:rPr>
          <w:color w:val="000000"/>
        </w:rPr>
      </w:pPr>
      <w:r>
        <w:rPr>
          <w:color w:val="000000"/>
        </w:rPr>
        <w:t xml:space="preserve">As you are aware, there are several temporary </w:t>
      </w:r>
      <w:r w:rsidR="00FA66C3">
        <w:rPr>
          <w:color w:val="000000"/>
        </w:rPr>
        <w:t>childcare</w:t>
      </w:r>
      <w:r>
        <w:rPr>
          <w:color w:val="000000"/>
        </w:rPr>
        <w:t xml:space="preserve"> rules in effect and we have started the process to make them permanent. Here is an update on the process:</w:t>
      </w:r>
    </w:p>
    <w:p w:rsidR="0066306C" w:rsidRDefault="0066306C" w:rsidP="0066306C">
      <w:pPr>
        <w:rPr>
          <w:b/>
          <w:bCs/>
          <w:color w:val="000000"/>
        </w:rPr>
      </w:pPr>
    </w:p>
    <w:p w:rsidR="0066306C" w:rsidRDefault="0066306C" w:rsidP="0066306C">
      <w:pPr>
        <w:rPr>
          <w:b/>
          <w:bCs/>
          <w:color w:val="000000"/>
        </w:rPr>
      </w:pPr>
      <w:r>
        <w:rPr>
          <w:b/>
          <w:bCs/>
          <w:color w:val="000000"/>
        </w:rPr>
        <w:t>Summary of proposed rule changes applicable to Certified Centers, Certified Family and Registered Family homes:</w:t>
      </w:r>
    </w:p>
    <w:p w:rsidR="0066306C" w:rsidRDefault="0066306C" w:rsidP="0066306C">
      <w:pPr>
        <w:ind w:left="720"/>
        <w:rPr>
          <w:b/>
          <w:bCs/>
          <w:color w:val="000000"/>
        </w:rPr>
      </w:pPr>
    </w:p>
    <w:p w:rsidR="0066306C" w:rsidRDefault="0066306C" w:rsidP="0066306C">
      <w:pPr>
        <w:ind w:left="720"/>
        <w:rPr>
          <w:b/>
          <w:bCs/>
        </w:rPr>
      </w:pPr>
      <w:r>
        <w:rPr>
          <w:b/>
          <w:bCs/>
          <w:color w:val="000000"/>
        </w:rPr>
        <w:t xml:space="preserve">Safe Sleep- </w:t>
      </w:r>
    </w:p>
    <w:p w:rsidR="0066306C" w:rsidRDefault="0066306C" w:rsidP="0066306C">
      <w:pPr>
        <w:pStyle w:val="ListParagraph"/>
        <w:numPr>
          <w:ilvl w:val="0"/>
          <w:numId w:val="3"/>
        </w:numPr>
        <w:ind w:left="1440"/>
        <w:contextualSpacing/>
      </w:pPr>
      <w:r>
        <w:rPr>
          <w:color w:val="000000"/>
        </w:rPr>
        <w:t xml:space="preserve">Removes the rule allowing sleeping infants who arrive at the facility in car seats to remain in the car seat until they awaken. This conflicts with existing rule that sleeping infants must be immediately moved to an appropriate sleep surface. Rule will be revised to align with the existing rule. </w:t>
      </w:r>
    </w:p>
    <w:p w:rsidR="0066306C" w:rsidRDefault="0066306C" w:rsidP="0066306C">
      <w:pPr>
        <w:pStyle w:val="ListParagraph"/>
        <w:numPr>
          <w:ilvl w:val="0"/>
          <w:numId w:val="3"/>
        </w:numPr>
        <w:ind w:left="1440"/>
        <w:contextualSpacing/>
      </w:pPr>
      <w:r>
        <w:rPr>
          <w:color w:val="000000"/>
        </w:rPr>
        <w:t xml:space="preserve">Correct rules to use the same terms to describe appropriate safe sleep surfaces (crib, portable crib, bassinet or playpen). </w:t>
      </w:r>
    </w:p>
    <w:p w:rsidR="0066306C" w:rsidRDefault="0066306C" w:rsidP="0066306C">
      <w:pPr>
        <w:pStyle w:val="ListParagraph"/>
        <w:numPr>
          <w:ilvl w:val="0"/>
          <w:numId w:val="3"/>
        </w:numPr>
        <w:ind w:left="1440"/>
        <w:contextualSpacing/>
      </w:pPr>
      <w:r>
        <w:rPr>
          <w:color w:val="000000"/>
        </w:rPr>
        <w:t xml:space="preserve">Indicates that the Office of Child Care (OCC) may notify parents of any valid safe sleep non-compliance, and makes clear that all serious valid complaint and serious non-compliance letters must be posted where they may be clearly viewed by parents. </w:t>
      </w:r>
    </w:p>
    <w:p w:rsidR="0066306C" w:rsidRDefault="0066306C" w:rsidP="0066306C">
      <w:pPr>
        <w:ind w:left="720"/>
        <w:rPr>
          <w:b/>
          <w:bCs/>
        </w:rPr>
      </w:pPr>
      <w:r>
        <w:rPr>
          <w:b/>
          <w:bCs/>
        </w:rPr>
        <w:t>Lead-</w:t>
      </w:r>
    </w:p>
    <w:p w:rsidR="0066306C" w:rsidRDefault="0066306C" w:rsidP="0066306C">
      <w:pPr>
        <w:pStyle w:val="ListParagraph"/>
        <w:numPr>
          <w:ilvl w:val="0"/>
          <w:numId w:val="4"/>
        </w:numPr>
        <w:ind w:left="1440"/>
        <w:contextualSpacing/>
      </w:pPr>
      <w:r>
        <w:rPr>
          <w:color w:val="000000"/>
        </w:rPr>
        <w:t>Updates and clarifies the requirements for water testing and the submission of test results to the OCC.</w:t>
      </w:r>
    </w:p>
    <w:p w:rsidR="0066306C" w:rsidRDefault="0066306C" w:rsidP="0066306C">
      <w:pPr>
        <w:rPr>
          <w:b/>
          <w:bCs/>
          <w:color w:val="000000"/>
        </w:rPr>
      </w:pPr>
    </w:p>
    <w:p w:rsidR="0066306C" w:rsidRDefault="0066306C" w:rsidP="0066306C">
      <w:pPr>
        <w:rPr>
          <w:b/>
          <w:bCs/>
          <w:color w:val="000000"/>
        </w:rPr>
      </w:pPr>
      <w:r>
        <w:rPr>
          <w:b/>
          <w:bCs/>
          <w:color w:val="000000"/>
        </w:rPr>
        <w:t>Applicable to Certified Centers:</w:t>
      </w:r>
    </w:p>
    <w:p w:rsidR="0066306C" w:rsidRDefault="0066306C" w:rsidP="0066306C">
      <w:pPr>
        <w:ind w:firstLine="360"/>
      </w:pPr>
      <w:r>
        <w:rPr>
          <w:b/>
          <w:bCs/>
          <w:color w:val="000000"/>
        </w:rPr>
        <w:t>Training Requirements-</w:t>
      </w:r>
    </w:p>
    <w:p w:rsidR="0066306C" w:rsidRDefault="0066306C" w:rsidP="0066306C">
      <w:pPr>
        <w:pStyle w:val="ListParagraph"/>
        <w:numPr>
          <w:ilvl w:val="0"/>
          <w:numId w:val="4"/>
        </w:numPr>
        <w:ind w:left="1440"/>
        <w:contextualSpacing/>
        <w:rPr>
          <w:color w:val="000000"/>
        </w:rPr>
      </w:pPr>
      <w:r>
        <w:rPr>
          <w:color w:val="000000"/>
        </w:rPr>
        <w:t xml:space="preserve">Corrects inconsistencies in staff training requirements for </w:t>
      </w:r>
      <w:proofErr w:type="gramStart"/>
      <w:r>
        <w:rPr>
          <w:color w:val="000000"/>
        </w:rPr>
        <w:t>Aide I’s</w:t>
      </w:r>
      <w:proofErr w:type="gramEnd"/>
      <w:r>
        <w:rPr>
          <w:color w:val="000000"/>
        </w:rPr>
        <w:t>.</w:t>
      </w:r>
    </w:p>
    <w:p w:rsidR="00FA66C3" w:rsidRPr="00FA66C3" w:rsidRDefault="00FA66C3" w:rsidP="00FA66C3">
      <w:pPr>
        <w:pStyle w:val="ListParagraph"/>
        <w:ind w:left="1440"/>
        <w:contextualSpacing/>
        <w:rPr>
          <w:color w:val="000000"/>
        </w:rPr>
      </w:pPr>
    </w:p>
    <w:p w:rsidR="0066306C" w:rsidRDefault="0066306C" w:rsidP="0066306C">
      <w:pPr>
        <w:rPr>
          <w:b/>
          <w:bCs/>
          <w:color w:val="000000"/>
        </w:rPr>
      </w:pPr>
      <w:r>
        <w:rPr>
          <w:b/>
          <w:bCs/>
          <w:color w:val="000000"/>
        </w:rPr>
        <w:t>Public Comment Period</w:t>
      </w:r>
    </w:p>
    <w:p w:rsidR="0066306C" w:rsidRDefault="0066306C" w:rsidP="0066306C">
      <w:pPr>
        <w:pStyle w:val="ListParagraph"/>
        <w:numPr>
          <w:ilvl w:val="0"/>
          <w:numId w:val="1"/>
        </w:numPr>
        <w:spacing w:after="200" w:line="276" w:lineRule="auto"/>
        <w:contextualSpacing/>
      </w:pPr>
      <w:r>
        <w:t xml:space="preserve">The public comment period is now open and closes on March 21, 2019 at 5:00 p.m. </w:t>
      </w:r>
    </w:p>
    <w:p w:rsidR="0066306C" w:rsidRDefault="0066306C" w:rsidP="0066306C">
      <w:pPr>
        <w:pStyle w:val="ListParagraph"/>
        <w:numPr>
          <w:ilvl w:val="0"/>
          <w:numId w:val="1"/>
        </w:numPr>
        <w:spacing w:after="200" w:line="276" w:lineRule="auto"/>
        <w:contextualSpacing/>
      </w:pPr>
      <w:r>
        <w:t xml:space="preserve">Comments </w:t>
      </w:r>
      <w:proofErr w:type="gramStart"/>
      <w:r>
        <w:t>can be emailed to</w:t>
      </w:r>
      <w:r>
        <w:rPr>
          <w:rStyle w:val="Hyperlink"/>
        </w:rPr>
        <w:t xml:space="preserve"> </w:t>
      </w:r>
      <w:hyperlink r:id="rId7" w:history="1">
        <w:r>
          <w:rPr>
            <w:rStyle w:val="Hyperlink"/>
          </w:rPr>
          <w:t>Anne.Morrison@ode.state.or.us</w:t>
        </w:r>
      </w:hyperlink>
      <w:r>
        <w:t>, or mailed to Anne Morrison, Oregon Early Learning Division, 700 Summer Street NE # 350, Salem, OR 97301</w:t>
      </w:r>
      <w:proofErr w:type="gramEnd"/>
      <w:r>
        <w:t>.</w:t>
      </w:r>
    </w:p>
    <w:p w:rsidR="0066306C" w:rsidRPr="00A4546D" w:rsidRDefault="0066306C" w:rsidP="0066306C">
      <w:pPr>
        <w:pStyle w:val="ListParagraph"/>
        <w:numPr>
          <w:ilvl w:val="0"/>
          <w:numId w:val="1"/>
        </w:numPr>
        <w:spacing w:after="200" w:line="276" w:lineRule="auto"/>
        <w:contextualSpacing/>
      </w:pPr>
      <w:r w:rsidRPr="00A4546D">
        <w:t xml:space="preserve">Summaries of the proposed rules are attached, and the full rule language is available here: </w:t>
      </w:r>
    </w:p>
    <w:p w:rsidR="0066306C" w:rsidRDefault="0066306C" w:rsidP="0066306C">
      <w:pPr>
        <w:pStyle w:val="ListParagraph"/>
        <w:numPr>
          <w:ilvl w:val="1"/>
          <w:numId w:val="1"/>
        </w:numPr>
      </w:pPr>
      <w:r w:rsidRPr="00C31805">
        <w:t>Registered Family</w:t>
      </w:r>
      <w:r w:rsidRPr="00C31805">
        <w:rPr>
          <w:color w:val="1F497D"/>
        </w:rPr>
        <w:t xml:space="preserve">- </w:t>
      </w:r>
      <w:hyperlink r:id="rId8" w:history="1">
        <w:r>
          <w:rPr>
            <w:rStyle w:val="Hyperlink"/>
          </w:rPr>
          <w:t>https://secure.sos.state.or.us/oard/viewRedlinePDF.action?filingRsn=40447</w:t>
        </w:r>
      </w:hyperlink>
    </w:p>
    <w:p w:rsidR="0066306C" w:rsidRDefault="0066306C" w:rsidP="0066306C">
      <w:pPr>
        <w:pStyle w:val="ListParagraph"/>
        <w:numPr>
          <w:ilvl w:val="1"/>
          <w:numId w:val="1"/>
        </w:numPr>
      </w:pPr>
      <w:r w:rsidRPr="00C31805">
        <w:t xml:space="preserve">Certified Family- </w:t>
      </w:r>
      <w:hyperlink r:id="rId9" w:history="1">
        <w:r>
          <w:rPr>
            <w:rStyle w:val="Hyperlink"/>
          </w:rPr>
          <w:t>https://secure.sos.state.or.us/oard/viewRedlinePDF.action?filingRsn=40448</w:t>
        </w:r>
      </w:hyperlink>
      <w:r w:rsidRPr="00C31805">
        <w:rPr>
          <w:color w:val="1F497D"/>
        </w:rPr>
        <w:t xml:space="preserve"> </w:t>
      </w:r>
    </w:p>
    <w:p w:rsidR="0066306C" w:rsidRDefault="0066306C" w:rsidP="0066306C">
      <w:pPr>
        <w:pStyle w:val="ListParagraph"/>
        <w:numPr>
          <w:ilvl w:val="1"/>
          <w:numId w:val="1"/>
        </w:numPr>
      </w:pPr>
      <w:r w:rsidRPr="00C31805">
        <w:t xml:space="preserve">Certified Center- </w:t>
      </w:r>
      <w:hyperlink r:id="rId10" w:history="1">
        <w:r>
          <w:rPr>
            <w:rStyle w:val="Hyperlink"/>
          </w:rPr>
          <w:t>https://secure.sos.state.or.us/oard/viewRedlinePDF.action?filingRsn=40449</w:t>
        </w:r>
      </w:hyperlink>
    </w:p>
    <w:p w:rsidR="0066306C" w:rsidRDefault="0066306C" w:rsidP="0066306C">
      <w:pPr>
        <w:rPr>
          <w:b/>
          <w:bCs/>
          <w:color w:val="000000"/>
        </w:rPr>
      </w:pPr>
      <w:r>
        <w:rPr>
          <w:b/>
          <w:bCs/>
          <w:color w:val="000000"/>
        </w:rPr>
        <w:t>Public Hearing</w:t>
      </w:r>
    </w:p>
    <w:p w:rsidR="0066306C" w:rsidRDefault="0066306C" w:rsidP="0066306C">
      <w:pPr>
        <w:pStyle w:val="ListParagraph"/>
        <w:numPr>
          <w:ilvl w:val="0"/>
          <w:numId w:val="2"/>
        </w:numPr>
        <w:contextualSpacing/>
        <w:rPr>
          <w:color w:val="000000"/>
        </w:rPr>
      </w:pPr>
      <w:r>
        <w:rPr>
          <w:color w:val="000000"/>
        </w:rPr>
        <w:t>If you are interested in giving feedback on these changes in person, please attend the Public Hearing</w:t>
      </w:r>
    </w:p>
    <w:p w:rsidR="0066306C" w:rsidRDefault="0066306C" w:rsidP="0066306C">
      <w:pPr>
        <w:pStyle w:val="ListParagraph"/>
        <w:numPr>
          <w:ilvl w:val="0"/>
          <w:numId w:val="2"/>
        </w:numPr>
        <w:contextualSpacing/>
        <w:rPr>
          <w:color w:val="000000"/>
        </w:rPr>
      </w:pPr>
      <w:r>
        <w:t xml:space="preserve">March 6, 2019 at 6:00 p.m. </w:t>
      </w:r>
    </w:p>
    <w:p w:rsidR="0066306C" w:rsidRDefault="0066306C" w:rsidP="0066306C">
      <w:pPr>
        <w:pStyle w:val="ListParagraph"/>
        <w:numPr>
          <w:ilvl w:val="0"/>
          <w:numId w:val="2"/>
        </w:numPr>
        <w:contextualSpacing/>
        <w:rPr>
          <w:color w:val="000000"/>
        </w:rPr>
      </w:pPr>
      <w:r>
        <w:t>Address</w:t>
      </w:r>
      <w:r>
        <w:rPr>
          <w:color w:val="000000"/>
        </w:rPr>
        <w:t>: Department of Veteran's Affairs Auditorium, 700 Summer Street NE, Salem, OR 97301</w:t>
      </w:r>
    </w:p>
    <w:p w:rsidR="0066306C" w:rsidRDefault="0066306C" w:rsidP="0066306C">
      <w:pPr>
        <w:pStyle w:val="ListParagraph"/>
        <w:numPr>
          <w:ilvl w:val="0"/>
          <w:numId w:val="2"/>
        </w:numPr>
        <w:contextualSpacing/>
        <w:rPr>
          <w:color w:val="000000"/>
        </w:rPr>
      </w:pPr>
      <w:r>
        <w:t xml:space="preserve">All persons wishing to give testimony must sign in no later than 6:15 p.m. </w:t>
      </w:r>
    </w:p>
    <w:p w:rsidR="0066306C" w:rsidRDefault="0066306C" w:rsidP="0066306C"/>
    <w:p w:rsidR="0066306C" w:rsidRDefault="0066306C" w:rsidP="0066306C">
      <w:pPr>
        <w:rPr>
          <w:color w:val="1F497D"/>
        </w:rPr>
      </w:pPr>
    </w:p>
    <w:p w:rsidR="003D2CFE" w:rsidRDefault="003D2CFE" w:rsidP="00447409">
      <w:pPr>
        <w:contextualSpacing/>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Pr="003D2CFE" w:rsidRDefault="003D2CFE" w:rsidP="003D2CFE">
      <w:pPr>
        <w:rPr>
          <w:rFonts w:ascii="Locator Regular" w:hAnsi="Locator Regular"/>
        </w:rPr>
      </w:pPr>
    </w:p>
    <w:p w:rsidR="003D2CFE" w:rsidRDefault="003D2CFE" w:rsidP="003D2CFE">
      <w:pPr>
        <w:rPr>
          <w:rFonts w:ascii="Locator Regular" w:hAnsi="Locator Regular"/>
        </w:rPr>
      </w:pPr>
    </w:p>
    <w:p w:rsidR="003D2CFE" w:rsidRDefault="003D2CFE" w:rsidP="003D2CFE">
      <w:pPr>
        <w:rPr>
          <w:rFonts w:ascii="Locator Regular" w:hAnsi="Locator Regular"/>
        </w:rPr>
      </w:pPr>
    </w:p>
    <w:p w:rsidR="00447409" w:rsidRPr="003D2CFE" w:rsidRDefault="003D2CFE" w:rsidP="003D2CFE">
      <w:pPr>
        <w:tabs>
          <w:tab w:val="left" w:pos="7978"/>
        </w:tabs>
        <w:rPr>
          <w:rFonts w:ascii="Locator Regular" w:hAnsi="Locator Regular"/>
        </w:rPr>
      </w:pPr>
      <w:r>
        <w:rPr>
          <w:rFonts w:ascii="Locator Regular" w:hAnsi="Locator Regular"/>
        </w:rPr>
        <w:tab/>
      </w:r>
    </w:p>
    <w:sectPr w:rsidR="00447409" w:rsidRPr="003D2CFE" w:rsidSect="00027E76">
      <w:headerReference w:type="default" r:id="rId11"/>
      <w:footerReference w:type="default" r:id="rId12"/>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CC" w:rsidRDefault="00F342CC" w:rsidP="001F2774">
      <w:r>
        <w:separator/>
      </w:r>
    </w:p>
  </w:endnote>
  <w:endnote w:type="continuationSeparator" w:id="0">
    <w:p w:rsidR="00F342CC" w:rsidRDefault="00F342CC"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Locator Regular">
    <w:panose1 w:val="00000000000000000000"/>
    <w:charset w:val="00"/>
    <w:family w:val="moder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1E" w:rsidRPr="00920CD4" w:rsidRDefault="00D54421" w:rsidP="00DE311E">
    <w:pPr>
      <w:pStyle w:val="Footer"/>
      <w:rPr>
        <w:rFonts w:ascii="Palatino Linotype" w:hAnsi="Palatino Linotype"/>
        <w:sz w:val="16"/>
        <w:szCs w:val="16"/>
      </w:rPr>
    </w:pPr>
    <w:r>
      <w:rPr>
        <w:noProof/>
      </w:rPr>
      <mc:AlternateContent>
        <mc:Choice Requires="wps">
          <w:drawing>
            <wp:anchor distT="45720" distB="45720" distL="114300" distR="114300" simplePos="0" relativeHeight="251663360" behindDoc="0" locked="1" layoutInCell="1" allowOverlap="1" wp14:anchorId="1F45D8A4" wp14:editId="5594C665">
              <wp:simplePos x="0" y="0"/>
              <wp:positionH relativeFrom="column">
                <wp:posOffset>-388620</wp:posOffset>
              </wp:positionH>
              <wp:positionV relativeFrom="page">
                <wp:posOffset>9456420</wp:posOffset>
              </wp:positionV>
              <wp:extent cx="6802120" cy="3105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10515"/>
                      </a:xfrm>
                      <a:prstGeom prst="rect">
                        <a:avLst/>
                      </a:prstGeom>
                      <a:noFill/>
                      <a:ln w="9525">
                        <a:noFill/>
                        <a:miter lim="800000"/>
                        <a:headEnd/>
                        <a:tailEnd/>
                      </a:ln>
                    </wps:spPr>
                    <wps:txbx>
                      <w:txbxContent>
                        <w:p w:rsidR="00D54421" w:rsidRPr="003515D9" w:rsidRDefault="003515D9" w:rsidP="003515D9">
                          <w:pPr>
                            <w:pStyle w:val="BasicParagraph"/>
                            <w:jc w:val="center"/>
                            <w:rPr>
                              <w:sz w:val="20"/>
                              <w:szCs w:val="20"/>
                            </w:rPr>
                          </w:pPr>
                          <w:r w:rsidRPr="003515D9">
                            <w:rPr>
                              <w:rFonts w:ascii="Locator Regular" w:hAnsi="Locator Regular" w:cs="Locator Regular"/>
                              <w:sz w:val="20"/>
                              <w:szCs w:val="20"/>
                            </w:rPr>
                            <w:t>700 Summer St NE, Salem OR 97301 | Phone (503) 947-1400 | FAX (503) 947-1428 | www.oregonearlylearning.com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5D8A4" id="_x0000_t202" coordsize="21600,21600" o:spt="202" path="m,l,21600r21600,l21600,xe">
              <v:stroke joinstyle="miter"/>
              <v:path gradientshapeok="t" o:connecttype="rect"/>
            </v:shapetype>
            <v:shape id="Text Box 2" o:spid="_x0000_s1026" type="#_x0000_t202" style="position:absolute;margin-left:-30.6pt;margin-top:744.6pt;width:535.6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" filled="f" stroked="f">
              <v:textbox>
                <w:txbxContent>
                  <w:p w:rsidR="00D54421" w:rsidRPr="003515D9" w:rsidRDefault="003515D9" w:rsidP="003515D9">
                    <w:pPr>
                      <w:pStyle w:val="BasicParagraph"/>
                      <w:jc w:val="center"/>
                      <w:rPr>
                        <w:sz w:val="20"/>
                        <w:szCs w:val="20"/>
                      </w:rPr>
                    </w:pPr>
                    <w:r w:rsidRPr="003515D9">
                      <w:rPr>
                        <w:rFonts w:ascii="Locator Regular" w:hAnsi="Locator Regular" w:cs="Locator Regular"/>
                        <w:sz w:val="20"/>
                        <w:szCs w:val="20"/>
                      </w:rPr>
                      <w:t>700 Summer St NE, Salem OR 97301 | Phone (503) 947-1400 | FAX (503) 947-1428 | www.oregonearlylearning.com</w:t>
                    </w: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CC" w:rsidRDefault="00F342CC" w:rsidP="001F2774">
      <w:r>
        <w:separator/>
      </w:r>
    </w:p>
  </w:footnote>
  <w:footnote w:type="continuationSeparator" w:id="0">
    <w:p w:rsidR="00F342CC" w:rsidRDefault="00F342CC"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13" w:rsidRPr="008B2413" w:rsidRDefault="009F4457" w:rsidP="00D470E0">
    <w:pPr>
      <w:pStyle w:val="Header"/>
      <w:spacing w:before="240"/>
    </w:pPr>
    <w:r>
      <w:rPr>
        <w:noProof/>
      </w:rPr>
      <w:drawing>
        <wp:anchor distT="0" distB="0" distL="114300" distR="114300" simplePos="0" relativeHeight="251655166" behindDoc="1" locked="0" layoutInCell="1" allowOverlap="1">
          <wp:simplePos x="0" y="0"/>
          <wp:positionH relativeFrom="column">
            <wp:posOffset>3888259</wp:posOffset>
          </wp:positionH>
          <wp:positionV relativeFrom="page">
            <wp:posOffset>609600</wp:posOffset>
          </wp:positionV>
          <wp:extent cx="2490770" cy="873210"/>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sidR="00D470E0">
      <w:rPr>
        <w:noProof/>
      </w:rPr>
      <mc:AlternateContent>
        <mc:Choice Requires="wps">
          <w:drawing>
            <wp:anchor distT="0" distB="0" distL="114300" distR="114300" simplePos="0" relativeHeight="251657215" behindDoc="0" locked="0" layoutInCell="1" allowOverlap="1" wp14:anchorId="268C9F69" wp14:editId="7BCC4234">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91D9"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" fillcolor="black [3213]" stroked="f" strokeweight="1pt"/>
          </w:pict>
        </mc:Fallback>
      </mc:AlternateContent>
    </w:r>
    <w:r w:rsidR="00D470E0">
      <w:rPr>
        <w:noProof/>
      </w:rPr>
      <mc:AlternateContent>
        <mc:Choice Requires="wps">
          <w:drawing>
            <wp:anchor distT="0" distB="0" distL="114300" distR="114300" simplePos="0" relativeHeight="251656191" behindDoc="0" locked="0" layoutInCell="1" allowOverlap="1">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ED0F"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" fillcolor="black [3213]" stroked="f" strokeweight="1pt"/>
          </w:pict>
        </mc:Fallback>
      </mc:AlternateContent>
    </w:r>
    <w:r w:rsidR="008B2413">
      <w:rPr>
        <w:noProof/>
      </w:rPr>
      <w:drawing>
        <wp:anchor distT="0" distB="0" distL="114300" distR="114300" simplePos="0" relativeHeight="251661312" behindDoc="1" locked="1" layoutInCell="1" allowOverlap="1" wp14:anchorId="57A48F1C" wp14:editId="5F13059A">
          <wp:simplePos x="0" y="0"/>
          <wp:positionH relativeFrom="page">
            <wp:posOffset>457200</wp:posOffset>
          </wp:positionH>
          <wp:positionV relativeFrom="page">
            <wp:posOffset>345440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D470E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0FEF"/>
    <w:multiLevelType w:val="hybridMultilevel"/>
    <w:tmpl w:val="CAA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64CD"/>
    <w:multiLevelType w:val="hybridMultilevel"/>
    <w:tmpl w:val="924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12A53"/>
    <w:multiLevelType w:val="hybridMultilevel"/>
    <w:tmpl w:val="BA72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16AE2"/>
    <w:multiLevelType w:val="hybridMultilevel"/>
    <w:tmpl w:val="C7E2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6C"/>
    <w:rsid w:val="00024E96"/>
    <w:rsid w:val="0002514F"/>
    <w:rsid w:val="00027E76"/>
    <w:rsid w:val="0007001D"/>
    <w:rsid w:val="000D20CC"/>
    <w:rsid w:val="00101CA4"/>
    <w:rsid w:val="00134517"/>
    <w:rsid w:val="00186627"/>
    <w:rsid w:val="001F2774"/>
    <w:rsid w:val="00231C46"/>
    <w:rsid w:val="00261C59"/>
    <w:rsid w:val="00280B68"/>
    <w:rsid w:val="002D22F3"/>
    <w:rsid w:val="002D3383"/>
    <w:rsid w:val="00335C4F"/>
    <w:rsid w:val="003515D9"/>
    <w:rsid w:val="003D2CFE"/>
    <w:rsid w:val="00447409"/>
    <w:rsid w:val="00492738"/>
    <w:rsid w:val="00492E16"/>
    <w:rsid w:val="004B6966"/>
    <w:rsid w:val="004C3C19"/>
    <w:rsid w:val="004D5E99"/>
    <w:rsid w:val="005019C7"/>
    <w:rsid w:val="005E7085"/>
    <w:rsid w:val="00624279"/>
    <w:rsid w:val="0066306C"/>
    <w:rsid w:val="00685187"/>
    <w:rsid w:val="006E39B5"/>
    <w:rsid w:val="00702B26"/>
    <w:rsid w:val="007945C6"/>
    <w:rsid w:val="007A5F39"/>
    <w:rsid w:val="007C3957"/>
    <w:rsid w:val="008B2413"/>
    <w:rsid w:val="008E049E"/>
    <w:rsid w:val="00920CD4"/>
    <w:rsid w:val="009A6496"/>
    <w:rsid w:val="009F4457"/>
    <w:rsid w:val="00A1661C"/>
    <w:rsid w:val="00A41639"/>
    <w:rsid w:val="00AA1BE1"/>
    <w:rsid w:val="00BA6730"/>
    <w:rsid w:val="00BC3FD8"/>
    <w:rsid w:val="00C830E4"/>
    <w:rsid w:val="00C83C5D"/>
    <w:rsid w:val="00D02FA0"/>
    <w:rsid w:val="00D470E0"/>
    <w:rsid w:val="00D54421"/>
    <w:rsid w:val="00DD60BA"/>
    <w:rsid w:val="00DE311E"/>
    <w:rsid w:val="00E861EA"/>
    <w:rsid w:val="00ED0EB7"/>
    <w:rsid w:val="00ED12A1"/>
    <w:rsid w:val="00EF4C42"/>
    <w:rsid w:val="00F07919"/>
    <w:rsid w:val="00F318AF"/>
    <w:rsid w:val="00F342CC"/>
    <w:rsid w:val="00FA3DE3"/>
    <w:rsid w:val="00FA66C3"/>
    <w:rsid w:val="00FD6DDA"/>
    <w:rsid w:val="00FE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BF73CF-1A9E-4AB2-91D6-586300FE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6C"/>
    <w:pPr>
      <w:spacing w:after="0"/>
    </w:pPr>
    <w:rPr>
      <w:rFonts w:ascii="Calibri" w:hAnsi="Calibri" w:cs="Calibri"/>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paragraph" w:customStyle="1" w:styleId="BasicParagraph">
    <w:name w:val="[Basic Paragraph]"/>
    <w:basedOn w:val="NoParagraphStyle"/>
    <w:uiPriority w:val="99"/>
    <w:rsid w:val="003515D9"/>
    <w:rPr>
      <w:rFonts w:ascii="Minion Pro" w:hAnsi="Minion Pro" w:cs="Minion Pro"/>
    </w:rPr>
  </w:style>
  <w:style w:type="character" w:styleId="Hyperlink">
    <w:name w:val="Hyperlink"/>
    <w:basedOn w:val="DefaultParagraphFont"/>
    <w:uiPriority w:val="99"/>
    <w:unhideWhenUsed/>
    <w:rsid w:val="0066306C"/>
    <w:rPr>
      <w:color w:val="0000FF"/>
      <w:u w:val="single"/>
    </w:rPr>
  </w:style>
  <w:style w:type="paragraph" w:styleId="ListParagraph">
    <w:name w:val="List Paragraph"/>
    <w:basedOn w:val="Normal"/>
    <w:uiPriority w:val="34"/>
    <w:qFormat/>
    <w:rsid w:val="006630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RedlinePDF.action?filingRsn=404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orrison@ode.state.o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cure.sos.state.or.us/oard/viewRedlinePDF.action?filingRsn=40449" TargetMode="External"/><Relationship Id="rId4" Type="http://schemas.openxmlformats.org/officeDocument/2006/relationships/webSettings" Target="webSettings.xml"/><Relationship Id="rId9" Type="http://schemas.openxmlformats.org/officeDocument/2006/relationships/hyperlink" Target="https://secure.sos.state.or.us/oard/viewRedlinePDF.action?filingRsn=4044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SHEELEY Regan -ELD</dc:creator>
  <cp:keywords/>
  <dc:description/>
  <cp:lastModifiedBy>Lacey D. Davis</cp:lastModifiedBy>
  <cp:revision>2</cp:revision>
  <cp:lastPrinted>2017-03-07T18:53:00Z</cp:lastPrinted>
  <dcterms:created xsi:type="dcterms:W3CDTF">2019-02-22T17:50:00Z</dcterms:created>
  <dcterms:modified xsi:type="dcterms:W3CDTF">2019-02-22T17:50:00Z</dcterms:modified>
</cp:coreProperties>
</file>