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86" w:rsidRDefault="00903C86" w:rsidP="00903C86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Уважаемые </w:t>
      </w:r>
      <w:r w:rsidRPr="008D203A">
        <w:t>провайдеры!</w:t>
      </w:r>
      <w:r>
        <w:rPr>
          <w:color w:val="000000"/>
        </w:rPr>
        <w:t xml:space="preserve"> </w:t>
      </w:r>
    </w:p>
    <w:p w:rsidR="00903C86" w:rsidRPr="00B70B1A" w:rsidRDefault="00903C86" w:rsidP="00903C86">
      <w:pPr>
        <w:rPr>
          <w:color w:val="000000"/>
          <w:sz w:val="21"/>
        </w:rPr>
      </w:pPr>
    </w:p>
    <w:p w:rsidR="00903C86" w:rsidRPr="00EE33D7" w:rsidRDefault="00903C86" w:rsidP="00903C86">
      <w:pPr>
        <w:rPr>
          <w:color w:val="000000"/>
          <w:lang w:val="en-US"/>
        </w:rPr>
      </w:pPr>
      <w:r>
        <w:rPr>
          <w:color w:val="000000"/>
        </w:rPr>
        <w:t>Как вам известно, на данный момент действуют несколько временных правил для детских учреждений, и мы приступили к преобразованию их в постоянные. Ниже приведена обновленная информация по данному вопросу.</w:t>
      </w:r>
    </w:p>
    <w:p w:rsidR="00903C86" w:rsidRPr="002E1903" w:rsidRDefault="00903C86" w:rsidP="00903C86">
      <w:pPr>
        <w:rPr>
          <w:b/>
          <w:bCs/>
          <w:sz w:val="21"/>
        </w:rPr>
      </w:pPr>
    </w:p>
    <w:p w:rsidR="00903C86" w:rsidRPr="00B72D32" w:rsidRDefault="00903C86" w:rsidP="00903C86">
      <w:pPr>
        <w:rPr>
          <w:b/>
          <w:bCs/>
        </w:rPr>
      </w:pPr>
      <w:r w:rsidRPr="002E1903">
        <w:rPr>
          <w:b/>
          <w:bCs/>
        </w:rPr>
        <w:t>Обзор предлагаемых изменений в правилах для сертифицированных центров, сертифи</w:t>
      </w:r>
      <w:r w:rsidRPr="002E1903">
        <w:rPr>
          <w:b/>
          <w:bCs/>
        </w:rPr>
        <w:softHyphen/>
        <w:t>цированных учреждений домашнего типа и зарегистрированных учреждений</w:t>
      </w:r>
      <w:r w:rsidRPr="002E1903">
        <w:rPr>
          <w:b/>
          <w:bCs/>
          <w:strike/>
        </w:rPr>
        <w:t xml:space="preserve"> </w:t>
      </w:r>
      <w:r w:rsidRPr="002E1903">
        <w:rPr>
          <w:b/>
          <w:bCs/>
        </w:rPr>
        <w:t>домашнего типа</w:t>
      </w:r>
      <w:r w:rsidRPr="00B72D32">
        <w:rPr>
          <w:b/>
          <w:bCs/>
        </w:rPr>
        <w:t>.</w:t>
      </w:r>
    </w:p>
    <w:p w:rsidR="00903C86" w:rsidRDefault="00903C86" w:rsidP="00903C86">
      <w:pPr>
        <w:ind w:left="720"/>
        <w:rPr>
          <w:b/>
          <w:bCs/>
          <w:color w:val="000000"/>
        </w:rPr>
      </w:pPr>
    </w:p>
    <w:p w:rsidR="00903C86" w:rsidRPr="00F84483" w:rsidRDefault="00903C86" w:rsidP="00903C86">
      <w:pPr>
        <w:ind w:left="720"/>
        <w:rPr>
          <w:b/>
          <w:bCs/>
        </w:rPr>
      </w:pPr>
      <w:r w:rsidRPr="00F84483">
        <w:rPr>
          <w:b/>
          <w:bCs/>
        </w:rPr>
        <w:t>Безопасный сон:</w:t>
      </w:r>
    </w:p>
    <w:p w:rsidR="00903C86" w:rsidRDefault="00903C86" w:rsidP="00903C86">
      <w:pPr>
        <w:pStyle w:val="ListParagraph"/>
        <w:numPr>
          <w:ilvl w:val="0"/>
          <w:numId w:val="3"/>
        </w:numPr>
        <w:ind w:left="1440"/>
        <w:contextualSpacing/>
      </w:pPr>
      <w:r>
        <w:rPr>
          <w:color w:val="000000"/>
        </w:rPr>
        <w:t xml:space="preserve">Исключается правило, позволяющее </w:t>
      </w:r>
      <w:r w:rsidRPr="00822DC3">
        <w:t xml:space="preserve">оставлять </w:t>
      </w:r>
      <w:r>
        <w:rPr>
          <w:color w:val="000000"/>
        </w:rPr>
        <w:t xml:space="preserve">спящих младенцев, прибывших в учреждение в автомобильном кресле </w:t>
      </w:r>
      <w:r w:rsidRPr="00822DC3">
        <w:t>(</w:t>
      </w:r>
      <w:r w:rsidRPr="00822DC3">
        <w:rPr>
          <w:lang w:val="en-US"/>
        </w:rPr>
        <w:t>car</w:t>
      </w:r>
      <w:r w:rsidRPr="00822DC3">
        <w:t xml:space="preserve"> </w:t>
      </w:r>
      <w:r w:rsidRPr="00822DC3">
        <w:rPr>
          <w:lang w:val="en-US"/>
        </w:rPr>
        <w:t>seat</w:t>
      </w:r>
      <w:r w:rsidRPr="00822DC3">
        <w:t xml:space="preserve"> ), в </w:t>
      </w:r>
      <w:r>
        <w:t>этом</w:t>
      </w:r>
      <w:r w:rsidRPr="00822DC3">
        <w:t xml:space="preserve"> </w:t>
      </w:r>
      <w:r>
        <w:rPr>
          <w:color w:val="000000"/>
        </w:rPr>
        <w:t xml:space="preserve">кресле до пробуждения. Это противоречит действующему правилу о том, что спящих младенцев следует немедленно перенести на подходящую для сна поверхность. Правило будет пересмотрено с целью его согласования с действующим правилом. </w:t>
      </w:r>
    </w:p>
    <w:p w:rsidR="00903C86" w:rsidRPr="00C44909" w:rsidRDefault="00903C86" w:rsidP="00903C86">
      <w:pPr>
        <w:pStyle w:val="ListParagraph"/>
        <w:numPr>
          <w:ilvl w:val="0"/>
          <w:numId w:val="3"/>
        </w:numPr>
        <w:ind w:left="1440"/>
        <w:contextualSpacing/>
      </w:pPr>
      <w:r>
        <w:rPr>
          <w:color w:val="000000"/>
        </w:rPr>
        <w:t xml:space="preserve">В правила вносятся корректировки с целью использования одинаковых терминов для описания подходящих для безопасного сна поверхностей (кроватка, переносная кроватка, люлька или манеж). </w:t>
      </w:r>
    </w:p>
    <w:p w:rsidR="00903C86" w:rsidRPr="00C44909" w:rsidRDefault="00903C86" w:rsidP="00903C86">
      <w:pPr>
        <w:pStyle w:val="ListParagraph"/>
        <w:numPr>
          <w:ilvl w:val="0"/>
          <w:numId w:val="3"/>
        </w:numPr>
        <w:ind w:left="1440"/>
        <w:contextualSpacing/>
      </w:pPr>
      <w:r w:rsidRPr="00C44909">
        <w:t>Указывается, что Отдел регулирования детских учреждений (ОСС) может уведомлять родителей о любом подтвержденном несоблюдении правил обеспечения безопасного сна, а также уточняется, что все письма о подтвержденных жалобах и серьезных</w:t>
      </w:r>
      <w:r w:rsidRPr="00C44909">
        <w:rPr>
          <w:strike/>
        </w:rPr>
        <w:t xml:space="preserve"> </w:t>
      </w:r>
      <w:r w:rsidRPr="00C44909">
        <w:t xml:space="preserve">нарушениях правил должны размещаться на видном месте так, чтобы с ними беспрепятственно могли ознакомиться родители. </w:t>
      </w:r>
    </w:p>
    <w:p w:rsidR="00903C86" w:rsidRPr="00DD172E" w:rsidRDefault="00903C86" w:rsidP="00903C86">
      <w:pPr>
        <w:ind w:left="720"/>
        <w:rPr>
          <w:b/>
          <w:bCs/>
          <w:lang w:val="en-US"/>
        </w:rPr>
      </w:pPr>
      <w:r>
        <w:rPr>
          <w:b/>
          <w:bCs/>
        </w:rPr>
        <w:t>Свинец</w:t>
      </w:r>
      <w:r>
        <w:rPr>
          <w:b/>
          <w:bCs/>
          <w:lang w:val="en-US"/>
        </w:rPr>
        <w:t>:</w:t>
      </w:r>
    </w:p>
    <w:p w:rsidR="00903C86" w:rsidRDefault="00903C86" w:rsidP="00903C86">
      <w:pPr>
        <w:pStyle w:val="ListParagraph"/>
        <w:numPr>
          <w:ilvl w:val="0"/>
          <w:numId w:val="4"/>
        </w:numPr>
        <w:ind w:left="1440"/>
        <w:contextualSpacing/>
      </w:pPr>
      <w:r>
        <w:rPr>
          <w:color w:val="000000"/>
        </w:rPr>
        <w:t xml:space="preserve">Обновляются и уточняются </w:t>
      </w:r>
      <w:r w:rsidRPr="00DD172E">
        <w:t xml:space="preserve">требования к проведению анализа воды и предоставлению </w:t>
      </w:r>
      <w:r>
        <w:rPr>
          <w:color w:val="000000"/>
        </w:rPr>
        <w:t>результатов анализа в Отдел регулирования детских учреждений (ОСС).</w:t>
      </w:r>
    </w:p>
    <w:p w:rsidR="00903C86" w:rsidRPr="00B70B1A" w:rsidRDefault="00903C86" w:rsidP="00903C86">
      <w:pPr>
        <w:rPr>
          <w:b/>
          <w:bCs/>
          <w:color w:val="000000"/>
          <w:sz w:val="21"/>
        </w:rPr>
      </w:pPr>
    </w:p>
    <w:p w:rsidR="00903C86" w:rsidRPr="00CC6CA3" w:rsidRDefault="00903C86" w:rsidP="00903C86">
      <w:pPr>
        <w:rPr>
          <w:b/>
          <w:bCs/>
          <w:color w:val="FF0000"/>
        </w:rPr>
      </w:pPr>
      <w:r>
        <w:rPr>
          <w:b/>
          <w:bCs/>
          <w:color w:val="000000"/>
        </w:rPr>
        <w:t xml:space="preserve">Применительно к сертифицированным </w:t>
      </w:r>
      <w:r w:rsidRPr="003A47E0">
        <w:rPr>
          <w:b/>
          <w:bCs/>
        </w:rPr>
        <w:t>центрам:</w:t>
      </w:r>
    </w:p>
    <w:p w:rsidR="00903C86" w:rsidRPr="00B72D32" w:rsidRDefault="00903C86" w:rsidP="00903C86">
      <w:pPr>
        <w:ind w:firstLine="360"/>
      </w:pPr>
      <w:r>
        <w:rPr>
          <w:b/>
          <w:bCs/>
          <w:color w:val="000000"/>
        </w:rPr>
        <w:t>Требования к обучению</w:t>
      </w:r>
      <w:r w:rsidRPr="00B72D32">
        <w:rPr>
          <w:b/>
          <w:bCs/>
          <w:color w:val="000000"/>
        </w:rPr>
        <w:t>:</w:t>
      </w:r>
    </w:p>
    <w:p w:rsidR="00903C86" w:rsidRDefault="00903C86" w:rsidP="00903C86">
      <w:pPr>
        <w:pStyle w:val="ListParagraph"/>
        <w:numPr>
          <w:ilvl w:val="0"/>
          <w:numId w:val="4"/>
        </w:numPr>
        <w:ind w:left="1440"/>
        <w:contextualSpacing/>
        <w:rPr>
          <w:color w:val="000000"/>
        </w:rPr>
      </w:pPr>
      <w:r>
        <w:rPr>
          <w:color w:val="000000"/>
        </w:rPr>
        <w:t xml:space="preserve">Устраняются противоречия в требованиях к обучению персонала применительно к помощникам </w:t>
      </w:r>
      <w:r w:rsidRPr="0038130A">
        <w:rPr>
          <w:color w:val="000000"/>
        </w:rPr>
        <w:t xml:space="preserve">1. </w:t>
      </w:r>
    </w:p>
    <w:p w:rsidR="00903C86" w:rsidRPr="00B70B1A" w:rsidRDefault="00903C86" w:rsidP="00903C86">
      <w:pPr>
        <w:rPr>
          <w:b/>
          <w:bCs/>
          <w:color w:val="000000"/>
          <w:sz w:val="21"/>
        </w:rPr>
      </w:pPr>
    </w:p>
    <w:p w:rsidR="00903C86" w:rsidRPr="009A54D8" w:rsidRDefault="00903C86" w:rsidP="00903C86">
      <w:pPr>
        <w:rPr>
          <w:b/>
          <w:bCs/>
          <w:lang w:val="en-US"/>
        </w:rPr>
      </w:pPr>
      <w:r>
        <w:rPr>
          <w:b/>
          <w:bCs/>
          <w:color w:val="000000"/>
        </w:rPr>
        <w:t xml:space="preserve">Период общественного </w:t>
      </w:r>
      <w:r w:rsidRPr="009A54D8">
        <w:rPr>
          <w:b/>
          <w:bCs/>
        </w:rPr>
        <w:t>обсуждения</w:t>
      </w:r>
      <w:r w:rsidRPr="009A54D8">
        <w:rPr>
          <w:b/>
          <w:bCs/>
          <w:lang w:val="en-US"/>
        </w:rPr>
        <w:t>:</w:t>
      </w:r>
    </w:p>
    <w:p w:rsidR="00903C86" w:rsidRDefault="00903C86" w:rsidP="00903C8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Период общественного обсуждения уже начался и закончится 21 марта 2019 года в 17:00. </w:t>
      </w:r>
    </w:p>
    <w:p w:rsidR="00903C86" w:rsidRDefault="00903C86" w:rsidP="00903C8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Замечания можно отправить по адресу электронной </w:t>
      </w:r>
      <w:r w:rsidRPr="00E97662">
        <w:t>почты:</w:t>
      </w:r>
      <w:r>
        <w:rPr>
          <w:rStyle w:val="Hyperlink"/>
        </w:rPr>
        <w:t xml:space="preserve"> </w:t>
      </w:r>
      <w:hyperlink r:id="rId7" w:history="1">
        <w:r>
          <w:rPr>
            <w:rStyle w:val="Hyperlink"/>
          </w:rPr>
          <w:t>Anne.Morrison@ode.state.or.us</w:t>
        </w:r>
      </w:hyperlink>
      <w:r>
        <w:t xml:space="preserve"> или обычным письмом на имя Anne Morrison по адресу: Oregon Early Learning Division, 700 Summer Street NE # 350, Salem, OR 97301.</w:t>
      </w:r>
    </w:p>
    <w:p w:rsidR="00903C86" w:rsidRPr="00095D08" w:rsidRDefault="00903C86" w:rsidP="00903C8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color w:val="1F497D"/>
        </w:rPr>
      </w:pPr>
      <w:r>
        <w:t>Обзоры предлагаемых правил прилагаются, а с полным текстом правил можно ознакомиться по следующим ссылкам</w:t>
      </w:r>
      <w:r w:rsidRPr="006035B5">
        <w:t>:</w:t>
      </w:r>
      <w:r>
        <w:t xml:space="preserve"> </w:t>
      </w:r>
      <w:hyperlink r:id="rId8" w:history="1">
        <w:r>
          <w:rPr>
            <w:rStyle w:val="Hyperlink"/>
          </w:rPr>
          <w:t>https://secure.sos.state.or.us/oard/displayBulletin.action?bulltnRsn=283</w:t>
        </w:r>
      </w:hyperlink>
    </w:p>
    <w:p w:rsidR="00903C86" w:rsidRDefault="00903C86" w:rsidP="00903C86">
      <w:pPr>
        <w:rPr>
          <w:color w:val="1F497D"/>
        </w:rPr>
      </w:pPr>
    </w:p>
    <w:p w:rsidR="00903C86" w:rsidRDefault="00903C86" w:rsidP="00903C86">
      <w:pPr>
        <w:rPr>
          <w:color w:val="1F497D"/>
        </w:rPr>
      </w:pPr>
    </w:p>
    <w:p w:rsidR="00903C86" w:rsidRPr="00861B8F" w:rsidRDefault="00903C86" w:rsidP="00903C86">
      <w:pPr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Общественное </w:t>
      </w:r>
      <w:r w:rsidRPr="006035B5">
        <w:rPr>
          <w:b/>
          <w:bCs/>
        </w:rPr>
        <w:t>слушание</w:t>
      </w:r>
      <w:r w:rsidRPr="006035B5">
        <w:rPr>
          <w:b/>
          <w:bCs/>
          <w:lang w:val="en-US"/>
        </w:rPr>
        <w:t>:</w:t>
      </w:r>
    </w:p>
    <w:p w:rsidR="00903C86" w:rsidRDefault="00903C86" w:rsidP="00903C86">
      <w:pPr>
        <w:pStyle w:val="ListParagraph"/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</w:rPr>
        <w:t>Если вы хотите высказать свое мнение об этих изменениях лично, приглашаем вас на общественное слушание.</w:t>
      </w:r>
    </w:p>
    <w:p w:rsidR="00903C86" w:rsidRDefault="00903C86" w:rsidP="00903C86">
      <w:pPr>
        <w:pStyle w:val="ListParagraph"/>
        <w:numPr>
          <w:ilvl w:val="0"/>
          <w:numId w:val="2"/>
        </w:numPr>
        <w:contextualSpacing/>
        <w:rPr>
          <w:color w:val="000000"/>
        </w:rPr>
      </w:pPr>
      <w:r>
        <w:t xml:space="preserve">06 марта 2019 года в 18:00. </w:t>
      </w:r>
    </w:p>
    <w:p w:rsidR="00903C86" w:rsidRPr="00411F5B" w:rsidRDefault="00903C86" w:rsidP="00903C86">
      <w:pPr>
        <w:pStyle w:val="ListParagraph"/>
        <w:numPr>
          <w:ilvl w:val="0"/>
          <w:numId w:val="2"/>
        </w:numPr>
        <w:contextualSpacing/>
        <w:rPr>
          <w:color w:val="000000"/>
          <w:lang w:val="en-US"/>
        </w:rPr>
      </w:pPr>
      <w:r>
        <w:t>Адрес</w:t>
      </w:r>
      <w:r w:rsidRPr="00411F5B">
        <w:rPr>
          <w:color w:val="000000"/>
          <w:lang w:val="en-US"/>
        </w:rPr>
        <w:t>: Department of Veteran's Affairs Auditorium, 700 Summer Street NE, Salem, OR 97301.</w:t>
      </w:r>
    </w:p>
    <w:p w:rsidR="00903C86" w:rsidRDefault="00903C86" w:rsidP="00903C86">
      <w:pPr>
        <w:pStyle w:val="ListParagraph"/>
        <w:numPr>
          <w:ilvl w:val="0"/>
          <w:numId w:val="2"/>
        </w:numPr>
        <w:contextualSpacing/>
        <w:rPr>
          <w:color w:val="000000"/>
        </w:rPr>
      </w:pPr>
      <w:r>
        <w:t xml:space="preserve">Желающие выступить должны зарегистрироваться не позднее 18:15. </w:t>
      </w:r>
    </w:p>
    <w:p w:rsidR="00903C86" w:rsidRDefault="00903C86" w:rsidP="00903C86"/>
    <w:p w:rsidR="003D2CFE" w:rsidRDefault="003D2CFE" w:rsidP="00447409">
      <w:pPr>
        <w:contextualSpacing/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Default="003D2CFE" w:rsidP="003D2CFE">
      <w:pPr>
        <w:rPr>
          <w:rFonts w:ascii="Locator Regular" w:hAnsi="Locator Regular"/>
        </w:rPr>
      </w:pPr>
    </w:p>
    <w:p w:rsidR="003D2CFE" w:rsidRDefault="003D2CFE" w:rsidP="003D2CFE">
      <w:pPr>
        <w:rPr>
          <w:rFonts w:ascii="Locator Regular" w:hAnsi="Locator Regular"/>
        </w:rPr>
      </w:pPr>
    </w:p>
    <w:p w:rsidR="00447409" w:rsidRPr="003D2CFE" w:rsidRDefault="003D2CFE" w:rsidP="003D2CFE">
      <w:pPr>
        <w:tabs>
          <w:tab w:val="left" w:pos="7978"/>
        </w:tabs>
        <w:rPr>
          <w:rFonts w:ascii="Locator Regular" w:hAnsi="Locator Regular"/>
        </w:rPr>
      </w:pPr>
      <w:r>
        <w:rPr>
          <w:rFonts w:ascii="Locator Regular" w:hAnsi="Locator Regular"/>
        </w:rPr>
        <w:tab/>
      </w:r>
    </w:p>
    <w:sectPr w:rsidR="00447409" w:rsidRPr="003D2CFE" w:rsidSect="00027E76">
      <w:headerReference w:type="default" r:id="rId9"/>
      <w:footerReference w:type="default" r:id="rId10"/>
      <w:pgSz w:w="12240" w:h="15840" w:code="1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BC" w:rsidRDefault="00C23CBC" w:rsidP="001F2774">
      <w:r>
        <w:separator/>
      </w:r>
    </w:p>
  </w:endnote>
  <w:endnote w:type="continuationSeparator" w:id="0">
    <w:p w:rsidR="00C23CBC" w:rsidRDefault="00C23CBC" w:rsidP="001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ocator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1E" w:rsidRPr="00920CD4" w:rsidRDefault="00D54421" w:rsidP="00DE311E">
    <w:pPr>
      <w:pStyle w:val="Footer"/>
      <w:rPr>
        <w:rFonts w:ascii="Palatino Linotype" w:hAnsi="Palatino Linotype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F45D8A4" wp14:editId="5594C665">
              <wp:simplePos x="0" y="0"/>
              <wp:positionH relativeFrom="column">
                <wp:posOffset>-388620</wp:posOffset>
              </wp:positionH>
              <wp:positionV relativeFrom="page">
                <wp:posOffset>9456420</wp:posOffset>
              </wp:positionV>
              <wp:extent cx="6802120" cy="31051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120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421" w:rsidRPr="003515D9" w:rsidRDefault="003515D9" w:rsidP="003515D9">
                          <w:pPr>
                            <w:pStyle w:val="BasicParagraph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515D9">
                            <w:rPr>
                              <w:rFonts w:ascii="Locator Regular" w:hAnsi="Locator Regular" w:cs="Locator Regular"/>
                              <w:sz w:val="20"/>
                              <w:szCs w:val="20"/>
                            </w:rPr>
                            <w:t>700 Summer St NE, Salem OR 97301 | Phone (503) 947-1400 | FAX (503) 947-1428 | www.oregonearlylearning.com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5D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6pt;margin-top:744.6pt;width:535.6pt;height:2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" filled="f" stroked="f">
              <v:textbox>
                <w:txbxContent>
                  <w:p w:rsidR="00D54421" w:rsidRPr="003515D9" w:rsidRDefault="003515D9" w:rsidP="003515D9">
                    <w:pPr>
                      <w:pStyle w:val="BasicParagraph"/>
                      <w:jc w:val="center"/>
                      <w:rPr>
                        <w:sz w:val="20"/>
                        <w:szCs w:val="20"/>
                      </w:rPr>
                    </w:pPr>
                    <w:r w:rsidRPr="003515D9">
                      <w:rPr>
                        <w:rFonts w:ascii="Locator Regular" w:hAnsi="Locator Regular" w:cs="Locator Regular"/>
                        <w:sz w:val="20"/>
                        <w:szCs w:val="20"/>
                      </w:rPr>
                      <w:t>700 Summer St NE, Salem OR 97301 | Phone (503) 947-1400 | FAX (503) 947-1428 | www.oregonearlylearning.com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BC" w:rsidRDefault="00C23CBC" w:rsidP="001F2774">
      <w:r>
        <w:separator/>
      </w:r>
    </w:p>
  </w:footnote>
  <w:footnote w:type="continuationSeparator" w:id="0">
    <w:p w:rsidR="00C23CBC" w:rsidRDefault="00C23CBC" w:rsidP="001F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13" w:rsidRPr="008B2413" w:rsidRDefault="009F4457" w:rsidP="00D470E0">
    <w:pPr>
      <w:pStyle w:val="Header"/>
      <w:spacing w:before="240"/>
    </w:pPr>
    <w:r>
      <w:rPr>
        <w:noProof/>
        <w:lang w:val="en-US"/>
      </w:rPr>
      <w:drawing>
        <wp:anchor distT="0" distB="0" distL="114300" distR="114300" simplePos="0" relativeHeight="251655166" behindDoc="1" locked="0" layoutInCell="1" allowOverlap="1">
          <wp:simplePos x="0" y="0"/>
          <wp:positionH relativeFrom="column">
            <wp:posOffset>3888259</wp:posOffset>
          </wp:positionH>
          <wp:positionV relativeFrom="page">
            <wp:posOffset>609600</wp:posOffset>
          </wp:positionV>
          <wp:extent cx="2490770" cy="873210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Logo_2016-FIN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70" cy="8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0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8C9F69" wp14:editId="7BCC4234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A047D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" fillcolor="black [3213]" stroked="f" strokeweight="1pt"/>
          </w:pict>
        </mc:Fallback>
      </mc:AlternateContent>
    </w:r>
    <w:r w:rsidR="00D470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7086E" id="Rectangle 2" o:spid="_x0000_s1026" style="position:absolute;margin-left:67.35pt;margin-top:2.7pt;width:435.05pt;height:1.4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" fillcolor="black [3213]" stroked="f" strokeweight="1pt"/>
          </w:pict>
        </mc:Fallback>
      </mc:AlternateContent>
    </w:r>
    <w:r w:rsidR="008B2413"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57A48F1C" wp14:editId="5F13059A">
          <wp:simplePos x="0" y="0"/>
          <wp:positionH relativeFrom="page">
            <wp:posOffset>457200</wp:posOffset>
          </wp:positionH>
          <wp:positionV relativeFrom="page">
            <wp:posOffset>345440</wp:posOffset>
          </wp:positionV>
          <wp:extent cx="2524760" cy="796925"/>
          <wp:effectExtent l="0" t="0" r="8890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0E0"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FEF"/>
    <w:multiLevelType w:val="hybridMultilevel"/>
    <w:tmpl w:val="CAA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4CD"/>
    <w:multiLevelType w:val="hybridMultilevel"/>
    <w:tmpl w:val="924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A53"/>
    <w:multiLevelType w:val="hybridMultilevel"/>
    <w:tmpl w:val="BA7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6AE2"/>
    <w:multiLevelType w:val="hybridMultilevel"/>
    <w:tmpl w:val="C7E2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86"/>
    <w:rsid w:val="00024E96"/>
    <w:rsid w:val="0002514F"/>
    <w:rsid w:val="00027E76"/>
    <w:rsid w:val="0007001D"/>
    <w:rsid w:val="000D20CC"/>
    <w:rsid w:val="00101CA4"/>
    <w:rsid w:val="00134517"/>
    <w:rsid w:val="00186627"/>
    <w:rsid w:val="001F2774"/>
    <w:rsid w:val="00231C46"/>
    <w:rsid w:val="00261C59"/>
    <w:rsid w:val="00280B68"/>
    <w:rsid w:val="002D22F3"/>
    <w:rsid w:val="002D3383"/>
    <w:rsid w:val="00335C4F"/>
    <w:rsid w:val="003515D9"/>
    <w:rsid w:val="003D2CFE"/>
    <w:rsid w:val="00447409"/>
    <w:rsid w:val="00492738"/>
    <w:rsid w:val="00492E16"/>
    <w:rsid w:val="004B6966"/>
    <w:rsid w:val="004C3C19"/>
    <w:rsid w:val="004D5E99"/>
    <w:rsid w:val="005019C7"/>
    <w:rsid w:val="005E7085"/>
    <w:rsid w:val="00624279"/>
    <w:rsid w:val="00685187"/>
    <w:rsid w:val="006E39B5"/>
    <w:rsid w:val="00702B26"/>
    <w:rsid w:val="007A5F39"/>
    <w:rsid w:val="007C3957"/>
    <w:rsid w:val="008B2413"/>
    <w:rsid w:val="008E049E"/>
    <w:rsid w:val="00903C86"/>
    <w:rsid w:val="00920CD4"/>
    <w:rsid w:val="009A6496"/>
    <w:rsid w:val="009F4457"/>
    <w:rsid w:val="00A1661C"/>
    <w:rsid w:val="00A41639"/>
    <w:rsid w:val="00AA1BE1"/>
    <w:rsid w:val="00BA6730"/>
    <w:rsid w:val="00BC3FD8"/>
    <w:rsid w:val="00C23CBC"/>
    <w:rsid w:val="00C83C5D"/>
    <w:rsid w:val="00D02FA0"/>
    <w:rsid w:val="00D470E0"/>
    <w:rsid w:val="00D54421"/>
    <w:rsid w:val="00DD60BA"/>
    <w:rsid w:val="00DE311E"/>
    <w:rsid w:val="00E861EA"/>
    <w:rsid w:val="00ED0EB7"/>
    <w:rsid w:val="00ED12A1"/>
    <w:rsid w:val="00EF4076"/>
    <w:rsid w:val="00EF4C42"/>
    <w:rsid w:val="00F07919"/>
    <w:rsid w:val="00F318AF"/>
    <w:rsid w:val="00FA3DE3"/>
    <w:rsid w:val="00FD6DDA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1BCB5-88E2-46F4-8D2E-ABBD58D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86"/>
    <w:pPr>
      <w:spacing w:after="0"/>
    </w:pPr>
    <w:rPr>
      <w:rFonts w:ascii="Calibri" w:hAnsi="Calibri" w:cs="Calibri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paragraph" w:customStyle="1" w:styleId="BasicParagraph">
    <w:name w:val="[Basic Paragraph]"/>
    <w:basedOn w:val="NoParagraphStyle"/>
    <w:uiPriority w:val="99"/>
    <w:rsid w:val="003515D9"/>
    <w:rPr>
      <w:rFonts w:ascii="Minion Pro" w:hAnsi="Minion Pro" w:cs="Minion Pro"/>
    </w:rPr>
  </w:style>
  <w:style w:type="character" w:styleId="Hyperlink">
    <w:name w:val="Hyperlink"/>
    <w:basedOn w:val="DefaultParagraphFont"/>
    <w:uiPriority w:val="99"/>
    <w:unhideWhenUsed/>
    <w:rsid w:val="00903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C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Bulletin.action?bulltnRsn=2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orrison@ode.state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SHEELEY Regan -ELD</dc:creator>
  <cp:keywords/>
  <dc:description/>
  <cp:lastModifiedBy>Lacey D. Davis</cp:lastModifiedBy>
  <cp:revision>2</cp:revision>
  <cp:lastPrinted>2017-03-07T18:53:00Z</cp:lastPrinted>
  <dcterms:created xsi:type="dcterms:W3CDTF">2019-02-26T23:55:00Z</dcterms:created>
  <dcterms:modified xsi:type="dcterms:W3CDTF">2019-02-26T23:55:00Z</dcterms:modified>
</cp:coreProperties>
</file>